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3A8F" w:rsidRDefault="00A63A8F"/>
    <w:tbl>
      <w:tblPr>
        <w:tblW w:w="0" w:type="auto"/>
        <w:jc w:val="center"/>
        <w:tblCellMar>
          <w:top w:w="115" w:type="dxa"/>
          <w:left w:w="115" w:type="dxa"/>
          <w:bottom w:w="115" w:type="dxa"/>
          <w:right w:w="115" w:type="dxa"/>
        </w:tblCellMar>
        <w:tblLook w:val="04A0" w:firstRow="1" w:lastRow="0" w:firstColumn="1" w:lastColumn="0" w:noHBand="0" w:noVBand="1"/>
      </w:tblPr>
      <w:tblGrid>
        <w:gridCol w:w="11016"/>
      </w:tblGrid>
      <w:tr w:rsidR="00A63A8F" w:rsidTr="00A63A8F">
        <w:trPr>
          <w:jc w:val="center"/>
        </w:trPr>
        <w:tc>
          <w:tcPr>
            <w:tcW w:w="11016" w:type="dxa"/>
            <w:shd w:val="clear" w:color="auto" w:fill="auto"/>
          </w:tcPr>
          <w:p w:rsidR="004A52D1" w:rsidRPr="004A52D1" w:rsidRDefault="004A52D1" w:rsidP="004A52D1">
            <w:pPr>
              <w:spacing w:after="0" w:line="240" w:lineRule="auto"/>
              <w:jc w:val="center"/>
              <w:rPr>
                <w:color w:val="005130"/>
                <w:sz w:val="32"/>
                <w:szCs w:val="32"/>
              </w:rPr>
            </w:pPr>
            <w:r w:rsidRPr="004A52D1">
              <w:rPr>
                <w:color w:val="005130"/>
                <w:sz w:val="32"/>
                <w:szCs w:val="32"/>
              </w:rPr>
              <w:t>SECTION 199A</w:t>
            </w:r>
          </w:p>
          <w:p w:rsidR="004A52D1" w:rsidRPr="004A52D1" w:rsidRDefault="004A52D1" w:rsidP="004A52D1">
            <w:pPr>
              <w:spacing w:after="0" w:line="240" w:lineRule="auto"/>
              <w:jc w:val="center"/>
              <w:rPr>
                <w:color w:val="005130"/>
                <w:sz w:val="32"/>
                <w:szCs w:val="32"/>
              </w:rPr>
            </w:pPr>
            <w:r w:rsidRPr="004A52D1">
              <w:rPr>
                <w:color w:val="005130"/>
                <w:sz w:val="32"/>
                <w:szCs w:val="32"/>
              </w:rPr>
              <w:t>TO BE OR NOT TO BE A TRADE OR BUSINESS</w:t>
            </w:r>
          </w:p>
          <w:p w:rsidR="004A52D1" w:rsidRPr="004A52D1" w:rsidRDefault="004A52D1" w:rsidP="004A52D1">
            <w:pPr>
              <w:spacing w:after="0" w:line="240" w:lineRule="auto"/>
              <w:jc w:val="center"/>
              <w:rPr>
                <w:color w:val="005130"/>
                <w:sz w:val="32"/>
                <w:szCs w:val="32"/>
              </w:rPr>
            </w:pPr>
            <w:r w:rsidRPr="004A52D1">
              <w:rPr>
                <w:color w:val="005130"/>
                <w:sz w:val="32"/>
                <w:szCs w:val="32"/>
              </w:rPr>
              <w:t>AND THOUGHTS CONCERNING THE REAL ESTATE INDUSTRY</w:t>
            </w:r>
          </w:p>
          <w:p w:rsidR="00A63A8F" w:rsidRDefault="00A63A8F" w:rsidP="00F07EA1">
            <w:pPr>
              <w:spacing w:after="0" w:line="240" w:lineRule="auto"/>
              <w:jc w:val="center"/>
              <w:rPr>
                <w:sz w:val="28"/>
                <w:szCs w:val="28"/>
              </w:rPr>
            </w:pPr>
            <w:r>
              <w:br/>
            </w:r>
            <w:r w:rsidR="00B96005">
              <w:rPr>
                <w:sz w:val="28"/>
                <w:szCs w:val="28"/>
              </w:rPr>
              <w:t xml:space="preserve">by </w:t>
            </w:r>
            <w:r w:rsidR="004A52D1" w:rsidRPr="004A52D1">
              <w:rPr>
                <w:sz w:val="28"/>
                <w:szCs w:val="28"/>
              </w:rPr>
              <w:t>Cameron L. Hess, CPA, Esq.</w:t>
            </w:r>
          </w:p>
          <w:p w:rsidR="00F07EA1" w:rsidRDefault="00F07EA1" w:rsidP="00F07EA1">
            <w:pPr>
              <w:spacing w:after="0" w:line="240" w:lineRule="auto"/>
              <w:jc w:val="center"/>
              <w:rPr>
                <w:sz w:val="28"/>
                <w:szCs w:val="28"/>
              </w:rPr>
            </w:pPr>
          </w:p>
          <w:p w:rsidR="00B96005" w:rsidRDefault="00B96005" w:rsidP="00B96005">
            <w:pPr>
              <w:spacing w:after="0" w:line="240" w:lineRule="auto"/>
              <w:rPr>
                <w:szCs w:val="24"/>
              </w:rPr>
            </w:pPr>
          </w:p>
          <w:p w:rsidR="004A52D1" w:rsidRPr="004A52D1" w:rsidRDefault="004A52D1" w:rsidP="004A52D1">
            <w:pPr>
              <w:spacing w:after="0" w:line="240" w:lineRule="auto"/>
              <w:rPr>
                <w:szCs w:val="24"/>
              </w:rPr>
            </w:pPr>
            <w:r w:rsidRPr="004A52D1">
              <w:rPr>
                <w:szCs w:val="24"/>
              </w:rPr>
              <w:t>The fickle Section 199 domestic production deduction, which benefitted the real estate construction industry, has left us like a jilted lover.  New to town, however, is Section 199A and she has a very different personality.</w:t>
            </w:r>
          </w:p>
          <w:p w:rsidR="004A52D1" w:rsidRPr="004A52D1" w:rsidRDefault="004A52D1" w:rsidP="004A52D1">
            <w:pPr>
              <w:spacing w:after="0" w:line="240" w:lineRule="auto"/>
              <w:rPr>
                <w:szCs w:val="24"/>
              </w:rPr>
            </w:pPr>
          </w:p>
          <w:p w:rsidR="004A52D1" w:rsidRPr="004A52D1" w:rsidRDefault="004A52D1" w:rsidP="004A52D1">
            <w:pPr>
              <w:spacing w:after="0" w:line="240" w:lineRule="auto"/>
              <w:rPr>
                <w:szCs w:val="24"/>
                <w:u w:val="single"/>
              </w:rPr>
            </w:pPr>
            <w:r w:rsidRPr="004A52D1">
              <w:rPr>
                <w:szCs w:val="24"/>
                <w:u w:val="single"/>
              </w:rPr>
              <w:t>Former Section 199</w:t>
            </w:r>
            <w:r w:rsidRPr="004A52D1">
              <w:rPr>
                <w:szCs w:val="24"/>
              </w:rPr>
              <w:t xml:space="preserve"> (Domestic Production Deduction.)</w:t>
            </w:r>
          </w:p>
          <w:p w:rsidR="004A52D1" w:rsidRPr="004A52D1" w:rsidRDefault="004A52D1" w:rsidP="004A52D1">
            <w:pPr>
              <w:spacing w:after="0" w:line="240" w:lineRule="auto"/>
              <w:rPr>
                <w:szCs w:val="24"/>
              </w:rPr>
            </w:pPr>
          </w:p>
          <w:p w:rsidR="004A52D1" w:rsidRPr="004A52D1" w:rsidRDefault="004A52D1" w:rsidP="004A52D1">
            <w:pPr>
              <w:spacing w:after="0" w:line="240" w:lineRule="auto"/>
              <w:rPr>
                <w:szCs w:val="24"/>
              </w:rPr>
            </w:pPr>
            <w:r w:rsidRPr="004A52D1">
              <w:rPr>
                <w:szCs w:val="24"/>
              </w:rPr>
              <w:t>Briefly, the former Section 199, which ended December 31, 2017, generally provided a 9% deduction based on the lesser of qualified production activities income or taxable income.</w:t>
            </w:r>
            <w:r w:rsidRPr="004A52D1">
              <w:rPr>
                <w:szCs w:val="24"/>
                <w:vertAlign w:val="superscript"/>
              </w:rPr>
              <w:footnoteReference w:id="1"/>
            </w:r>
            <w:r w:rsidRPr="004A52D1">
              <w:rPr>
                <w:szCs w:val="24"/>
              </w:rPr>
              <w:t xml:space="preserve">  The deduction was further limited to 50% of wages paid in connection with domestic production gross receipts.</w:t>
            </w:r>
            <w:r w:rsidRPr="004A52D1">
              <w:rPr>
                <w:szCs w:val="24"/>
                <w:vertAlign w:val="superscript"/>
              </w:rPr>
              <w:footnoteReference w:id="2"/>
            </w:r>
            <w:r w:rsidRPr="004A52D1">
              <w:rPr>
                <w:szCs w:val="24"/>
              </w:rPr>
              <w:t xml:space="preserve">  </w:t>
            </w:r>
          </w:p>
          <w:p w:rsidR="004A52D1" w:rsidRPr="004A52D1" w:rsidRDefault="004A52D1" w:rsidP="004A52D1">
            <w:pPr>
              <w:spacing w:after="0" w:line="240" w:lineRule="auto"/>
              <w:rPr>
                <w:szCs w:val="24"/>
              </w:rPr>
            </w:pPr>
          </w:p>
          <w:p w:rsidR="004A52D1" w:rsidRPr="004A52D1" w:rsidRDefault="004A52D1" w:rsidP="004A52D1">
            <w:pPr>
              <w:spacing w:after="0" w:line="240" w:lineRule="auto"/>
              <w:rPr>
                <w:szCs w:val="24"/>
              </w:rPr>
            </w:pPr>
            <w:r w:rsidRPr="004A52D1">
              <w:rPr>
                <w:szCs w:val="24"/>
              </w:rPr>
              <w:t>The former Section 199 was available for all taxpayers, including corporations.  Specifically included were estates and trusts, and for owners of pass-through entities (partnerships and S Corporations) and for beneficiaries of estates and trusts (receiving distributions) attribution rules allowed the deduction to be passed out.</w:t>
            </w:r>
            <w:r w:rsidRPr="004A52D1">
              <w:rPr>
                <w:szCs w:val="24"/>
                <w:vertAlign w:val="superscript"/>
              </w:rPr>
              <w:footnoteReference w:id="3"/>
            </w:r>
          </w:p>
          <w:p w:rsidR="004A52D1" w:rsidRPr="004A52D1" w:rsidRDefault="004A52D1" w:rsidP="004A52D1">
            <w:pPr>
              <w:spacing w:after="0" w:line="240" w:lineRule="auto"/>
              <w:rPr>
                <w:szCs w:val="24"/>
              </w:rPr>
            </w:pPr>
          </w:p>
          <w:p w:rsidR="004A52D1" w:rsidRPr="004A52D1" w:rsidRDefault="004A52D1" w:rsidP="004A52D1">
            <w:pPr>
              <w:spacing w:after="0" w:line="240" w:lineRule="auto"/>
              <w:rPr>
                <w:szCs w:val="24"/>
              </w:rPr>
            </w:pPr>
            <w:r w:rsidRPr="004A52D1">
              <w:rPr>
                <w:szCs w:val="24"/>
              </w:rPr>
              <w:t>Former Section 199 included a critical term:  domestic production gross receipts.  While reduced for cost of sales and other expenses to determine production income, this term included receipts from any lease, rental, license, sale, exchange or disposition of qualifying production property, provided that the property was manufactured, produced, grown or extracted by the taxpayer.</w:t>
            </w:r>
            <w:r w:rsidRPr="004A52D1">
              <w:rPr>
                <w:szCs w:val="24"/>
                <w:vertAlign w:val="superscript"/>
              </w:rPr>
              <w:footnoteReference w:id="4"/>
            </w:r>
            <w:r w:rsidRPr="004A52D1">
              <w:rPr>
                <w:szCs w:val="24"/>
              </w:rPr>
              <w:t xml:space="preserve">  “Qualifying production property” included tangible personal property, computer software and sound recordings.  In addition, included were film production, certain utility (electricity, natural gas or potable water) produced, and the active conduct of construction, including real property, and engineering and architectural services.</w:t>
            </w:r>
          </w:p>
          <w:p w:rsidR="004A52D1" w:rsidRPr="004A52D1" w:rsidRDefault="004A52D1" w:rsidP="004A52D1">
            <w:pPr>
              <w:spacing w:after="0" w:line="240" w:lineRule="auto"/>
              <w:rPr>
                <w:szCs w:val="24"/>
              </w:rPr>
            </w:pPr>
          </w:p>
          <w:p w:rsidR="004A52D1" w:rsidRPr="004A52D1" w:rsidRDefault="004A52D1" w:rsidP="004A52D1">
            <w:pPr>
              <w:spacing w:after="0" w:line="240" w:lineRule="auto"/>
              <w:rPr>
                <w:szCs w:val="24"/>
              </w:rPr>
            </w:pPr>
            <w:r w:rsidRPr="004A52D1">
              <w:rPr>
                <w:szCs w:val="24"/>
              </w:rPr>
              <w:lastRenderedPageBreak/>
              <w:t xml:space="preserve">In identifying gross receipts, the former Section 199 simply identified that it applied only taking into account items attributable to the active conduct of a trade or business.  </w:t>
            </w:r>
          </w:p>
          <w:p w:rsidR="004A52D1" w:rsidRPr="004A52D1" w:rsidRDefault="004A52D1" w:rsidP="004A52D1">
            <w:pPr>
              <w:spacing w:after="0" w:line="240" w:lineRule="auto"/>
              <w:rPr>
                <w:szCs w:val="24"/>
              </w:rPr>
            </w:pPr>
            <w:r w:rsidRPr="004A52D1">
              <w:rPr>
                <w:szCs w:val="24"/>
              </w:rPr>
              <w:br w:type="page"/>
            </w:r>
          </w:p>
          <w:p w:rsidR="004A52D1" w:rsidRPr="004A52D1" w:rsidRDefault="004A52D1" w:rsidP="004A52D1">
            <w:pPr>
              <w:spacing w:after="0" w:line="240" w:lineRule="auto"/>
              <w:rPr>
                <w:szCs w:val="24"/>
              </w:rPr>
            </w:pPr>
          </w:p>
          <w:p w:rsidR="004A52D1" w:rsidRPr="004A52D1" w:rsidRDefault="004A52D1" w:rsidP="004A52D1">
            <w:pPr>
              <w:spacing w:after="0" w:line="240" w:lineRule="auto"/>
              <w:rPr>
                <w:szCs w:val="24"/>
                <w:u w:val="single"/>
              </w:rPr>
            </w:pPr>
            <w:r w:rsidRPr="004A52D1">
              <w:rPr>
                <w:szCs w:val="24"/>
                <w:u w:val="single"/>
              </w:rPr>
              <w:t>New Section 199A</w:t>
            </w:r>
            <w:r w:rsidRPr="004A52D1">
              <w:rPr>
                <w:szCs w:val="24"/>
              </w:rPr>
              <w:t xml:space="preserve"> (Individual and Pass-through Business Deduction)</w:t>
            </w:r>
          </w:p>
          <w:p w:rsidR="004A52D1" w:rsidRPr="004A52D1" w:rsidRDefault="004A52D1" w:rsidP="004A52D1">
            <w:pPr>
              <w:spacing w:after="0" w:line="240" w:lineRule="auto"/>
              <w:rPr>
                <w:szCs w:val="24"/>
              </w:rPr>
            </w:pPr>
          </w:p>
          <w:p w:rsidR="004A52D1" w:rsidRPr="004A52D1" w:rsidRDefault="004A52D1" w:rsidP="004A52D1">
            <w:pPr>
              <w:spacing w:after="0" w:line="240" w:lineRule="auto"/>
              <w:rPr>
                <w:szCs w:val="24"/>
              </w:rPr>
            </w:pPr>
            <w:r w:rsidRPr="004A52D1">
              <w:rPr>
                <w:szCs w:val="24"/>
              </w:rPr>
              <w:t>Section 199A under the Tax and Jobs Act was signed into law before Christmas and is effective January 1, 2018.  It offers a far more attractive twenty-percent (20%) “above the line” deduction against qualified business income.  While corporations are no longer eligible,</w:t>
            </w:r>
            <w:r w:rsidRPr="004A52D1">
              <w:rPr>
                <w:szCs w:val="24"/>
                <w:vertAlign w:val="superscript"/>
              </w:rPr>
              <w:footnoteReference w:id="5"/>
            </w:r>
            <w:r w:rsidRPr="004A52D1">
              <w:rPr>
                <w:szCs w:val="24"/>
              </w:rPr>
              <w:t xml:space="preserve"> the new Section 199A followed former law to be available to individuals, trusts and estates (including beneficiaries) aka “non-corporate taxpayers”, in connection with any trade or business.</w:t>
            </w:r>
          </w:p>
          <w:p w:rsidR="004A52D1" w:rsidRPr="004A52D1" w:rsidRDefault="004A52D1" w:rsidP="004A52D1">
            <w:pPr>
              <w:spacing w:after="0" w:line="240" w:lineRule="auto"/>
              <w:rPr>
                <w:szCs w:val="24"/>
              </w:rPr>
            </w:pPr>
          </w:p>
          <w:p w:rsidR="004A52D1" w:rsidRPr="004A52D1" w:rsidRDefault="004A52D1" w:rsidP="004A52D1">
            <w:pPr>
              <w:spacing w:after="0" w:line="240" w:lineRule="auto"/>
              <w:rPr>
                <w:szCs w:val="24"/>
              </w:rPr>
            </w:pPr>
            <w:r w:rsidRPr="004A52D1">
              <w:rPr>
                <w:szCs w:val="24"/>
              </w:rPr>
              <w:t xml:space="preserve">Section 199A is no longer tied to domestic production.  Section 199A is open to all businesses that do </w:t>
            </w:r>
            <w:r w:rsidRPr="004A52D1">
              <w:rPr>
                <w:b/>
                <w:i/>
                <w:szCs w:val="24"/>
              </w:rPr>
              <w:t>not</w:t>
            </w:r>
            <w:r w:rsidRPr="004A52D1">
              <w:rPr>
                <w:szCs w:val="24"/>
              </w:rPr>
              <w:t xml:space="preserve"> involve either (</w:t>
            </w:r>
            <w:proofErr w:type="spellStart"/>
            <w:r w:rsidRPr="004A52D1">
              <w:rPr>
                <w:szCs w:val="24"/>
              </w:rPr>
              <w:t>i</w:t>
            </w:r>
            <w:proofErr w:type="spellEnd"/>
            <w:r w:rsidRPr="004A52D1">
              <w:rPr>
                <w:szCs w:val="24"/>
              </w:rPr>
              <w:t>) securities investment management or a (ii) 1202(e)(3)(A) professional service organization (but permitting engineering and architecture services to qualify for Section 199A).</w:t>
            </w:r>
            <w:r w:rsidRPr="004A52D1">
              <w:rPr>
                <w:szCs w:val="24"/>
                <w:vertAlign w:val="superscript"/>
              </w:rPr>
              <w:footnoteReference w:id="6"/>
            </w:r>
            <w:r w:rsidRPr="004A52D1">
              <w:rPr>
                <w:szCs w:val="24"/>
              </w:rPr>
              <w:t xml:space="preserve">  The business may be undertaken by an individual, trust, estate or any pass-through entity (including an S corporation).  If in a permitted entity, trust or estate, the qualification as a trade or business activity is recognized both to the entity and the owners or beneficiaries.  While generally contained within Section 199A, these concepts are borrowed directly from international tax law.</w:t>
            </w:r>
            <w:r w:rsidRPr="004A52D1">
              <w:rPr>
                <w:szCs w:val="24"/>
                <w:vertAlign w:val="superscript"/>
              </w:rPr>
              <w:footnoteReference w:id="7"/>
            </w:r>
          </w:p>
          <w:p w:rsidR="004A52D1" w:rsidRPr="004A52D1" w:rsidRDefault="004A52D1" w:rsidP="004A52D1">
            <w:pPr>
              <w:spacing w:after="0" w:line="240" w:lineRule="auto"/>
              <w:rPr>
                <w:szCs w:val="24"/>
              </w:rPr>
            </w:pPr>
          </w:p>
          <w:p w:rsidR="004A52D1" w:rsidRPr="004A52D1" w:rsidRDefault="004A52D1" w:rsidP="004A52D1">
            <w:pPr>
              <w:spacing w:after="0" w:line="240" w:lineRule="auto"/>
              <w:rPr>
                <w:szCs w:val="24"/>
              </w:rPr>
            </w:pPr>
            <w:r w:rsidRPr="004A52D1">
              <w:rPr>
                <w:szCs w:val="24"/>
              </w:rPr>
              <w:t xml:space="preserve">Section 199A also introduces completely new terms.  </w:t>
            </w:r>
          </w:p>
          <w:p w:rsidR="004A52D1" w:rsidRPr="004A52D1" w:rsidRDefault="004A52D1" w:rsidP="004A52D1">
            <w:pPr>
              <w:spacing w:after="0" w:line="240" w:lineRule="auto"/>
              <w:rPr>
                <w:szCs w:val="24"/>
              </w:rPr>
            </w:pPr>
          </w:p>
          <w:p w:rsidR="004A52D1" w:rsidRPr="004A52D1" w:rsidRDefault="004A52D1" w:rsidP="004A52D1">
            <w:pPr>
              <w:spacing w:after="0" w:line="240" w:lineRule="auto"/>
              <w:rPr>
                <w:szCs w:val="24"/>
              </w:rPr>
            </w:pPr>
            <w:r w:rsidRPr="004A52D1">
              <w:rPr>
                <w:szCs w:val="24"/>
              </w:rPr>
              <w:t xml:space="preserve">One term is called the “Combined Qualified Business Income Amount” (or, for short “C-QBIA”).  C-QBIA is a very simple term.  It simply means tentative allowable deduction equal to twenty percent (20%) of the combined total of all Qualified Items from a Qualified Trade or Business.  This tentative deduction is subject to several limitations, including taxpayer’s taxable income.  </w:t>
            </w:r>
          </w:p>
          <w:p w:rsidR="004A52D1" w:rsidRPr="004A52D1" w:rsidRDefault="004A52D1" w:rsidP="004A52D1">
            <w:pPr>
              <w:spacing w:after="0" w:line="240" w:lineRule="auto"/>
              <w:rPr>
                <w:szCs w:val="24"/>
              </w:rPr>
            </w:pPr>
          </w:p>
          <w:p w:rsidR="004A52D1" w:rsidRPr="004A52D1" w:rsidRDefault="004A52D1" w:rsidP="004A52D1">
            <w:pPr>
              <w:spacing w:after="0" w:line="240" w:lineRule="auto"/>
              <w:rPr>
                <w:szCs w:val="24"/>
              </w:rPr>
            </w:pPr>
            <w:r w:rsidRPr="004A52D1">
              <w:rPr>
                <w:szCs w:val="24"/>
              </w:rPr>
              <w:t xml:space="preserve">In identifying Qualified Items, Section 199A clearly states such amounts do not include items </w:t>
            </w:r>
            <w:proofErr w:type="gramStart"/>
            <w:r w:rsidRPr="004A52D1">
              <w:rPr>
                <w:szCs w:val="24"/>
              </w:rPr>
              <w:t>of  capital</w:t>
            </w:r>
            <w:proofErr w:type="gramEnd"/>
            <w:r w:rsidRPr="004A52D1">
              <w:rPr>
                <w:szCs w:val="24"/>
              </w:rPr>
              <w:t xml:space="preserve"> gains </w:t>
            </w:r>
            <w:r w:rsidRPr="004A52D1">
              <w:rPr>
                <w:szCs w:val="24"/>
              </w:rPr>
              <w:lastRenderedPageBreak/>
              <w:t>and losses, dividends, interest, certain annuities and other like items not customarily considered trade or business income.</w:t>
            </w:r>
          </w:p>
          <w:p w:rsidR="004A52D1" w:rsidRPr="004A52D1" w:rsidRDefault="004A52D1" w:rsidP="004A52D1">
            <w:pPr>
              <w:spacing w:after="0" w:line="240" w:lineRule="auto"/>
              <w:rPr>
                <w:szCs w:val="24"/>
              </w:rPr>
            </w:pPr>
          </w:p>
          <w:p w:rsidR="004A52D1" w:rsidRPr="004A52D1" w:rsidRDefault="004A52D1" w:rsidP="004A52D1">
            <w:pPr>
              <w:spacing w:after="0" w:line="240" w:lineRule="auto"/>
              <w:rPr>
                <w:szCs w:val="24"/>
              </w:rPr>
            </w:pPr>
            <w:r w:rsidRPr="004A52D1">
              <w:rPr>
                <w:szCs w:val="24"/>
              </w:rPr>
              <w:t xml:space="preserve">While all of the foregoing would </w:t>
            </w:r>
            <w:r w:rsidRPr="004A52D1">
              <w:rPr>
                <w:i/>
                <w:szCs w:val="24"/>
              </w:rPr>
              <w:t>seem</w:t>
            </w:r>
            <w:r w:rsidRPr="004A52D1">
              <w:rPr>
                <w:szCs w:val="24"/>
              </w:rPr>
              <w:t xml:space="preserve"> to benefit the real estate industry and removes the requirement that taxpayer must produce property to qualify, Section 199A is far more complex than its predecessor.  In addition, Section 199A may be available for additional sectors of the real estate industry; however, it does not necessarily treat all businesses within the same sector of the industry equally.  Many of the differences occur due to two features</w:t>
            </w:r>
            <w:proofErr w:type="gramStart"/>
            <w:r w:rsidRPr="004A52D1">
              <w:rPr>
                <w:szCs w:val="24"/>
              </w:rPr>
              <w:t>:  (</w:t>
            </w:r>
            <w:proofErr w:type="spellStart"/>
            <w:proofErr w:type="gramEnd"/>
            <w:r w:rsidRPr="004A52D1">
              <w:rPr>
                <w:szCs w:val="24"/>
              </w:rPr>
              <w:t>i</w:t>
            </w:r>
            <w:proofErr w:type="spellEnd"/>
            <w:r w:rsidRPr="004A52D1">
              <w:rPr>
                <w:szCs w:val="24"/>
              </w:rPr>
              <w:t>) the Qualified Trade or Business Requirement and (ii) Deduction Limitations.</w:t>
            </w:r>
          </w:p>
          <w:p w:rsidR="004A52D1" w:rsidRPr="004A52D1" w:rsidRDefault="004A52D1" w:rsidP="004A52D1">
            <w:pPr>
              <w:spacing w:after="0" w:line="240" w:lineRule="auto"/>
              <w:rPr>
                <w:szCs w:val="24"/>
                <w:u w:val="single"/>
              </w:rPr>
            </w:pPr>
          </w:p>
          <w:p w:rsidR="004A52D1" w:rsidRPr="004A52D1" w:rsidRDefault="004A52D1" w:rsidP="004A52D1">
            <w:pPr>
              <w:spacing w:after="0" w:line="240" w:lineRule="auto"/>
              <w:rPr>
                <w:szCs w:val="24"/>
                <w:u w:val="single"/>
              </w:rPr>
            </w:pPr>
            <w:r w:rsidRPr="004A52D1">
              <w:rPr>
                <w:szCs w:val="24"/>
                <w:u w:val="single"/>
              </w:rPr>
              <w:t>Real Estate Industry.</w:t>
            </w:r>
          </w:p>
          <w:p w:rsidR="004A52D1" w:rsidRPr="004A52D1" w:rsidRDefault="004A52D1" w:rsidP="004A52D1">
            <w:pPr>
              <w:spacing w:after="0" w:line="240" w:lineRule="auto"/>
              <w:rPr>
                <w:szCs w:val="24"/>
              </w:rPr>
            </w:pPr>
            <w:r w:rsidRPr="004A52D1">
              <w:rPr>
                <w:szCs w:val="24"/>
              </w:rPr>
              <w:t xml:space="preserve">As it will become apparent from the discussion below, Section 199A is not limited to the real estate industry; however, it will have a major benefit for many taxpayers engaged in real estate.  </w:t>
            </w:r>
          </w:p>
          <w:p w:rsidR="004A52D1" w:rsidRDefault="004A52D1" w:rsidP="004A52D1">
            <w:pPr>
              <w:spacing w:after="0" w:line="240" w:lineRule="auto"/>
              <w:rPr>
                <w:szCs w:val="24"/>
              </w:rPr>
            </w:pPr>
            <w:r w:rsidRPr="004A52D1">
              <w:rPr>
                <w:szCs w:val="24"/>
              </w:rPr>
              <w:t>First, specifically included in the statute, are provisions which now allow the 20% deduction for investors in real estate investment trusts and qualifying cooperatives on their qualifying dividends.</w:t>
            </w:r>
            <w:r w:rsidRPr="004A52D1">
              <w:rPr>
                <w:szCs w:val="24"/>
                <w:vertAlign w:val="superscript"/>
              </w:rPr>
              <w:footnoteReference w:id="8"/>
            </w:r>
            <w:r w:rsidRPr="004A52D1">
              <w:rPr>
                <w:szCs w:val="24"/>
              </w:rPr>
              <w:t xml:space="preserve">  Second, the allowance of an alternate limitation against the 20% deduction, discussed below, which allows the deduction to the extent of the sum of 25% of wages and 2.5% of depreciable property basis, will significantly benefit hotels, motels and qualifying real estate rental property businesses.  It will even benefit health-clubs and other businesses that are capital intensive, requiring significant property and equipment.</w:t>
            </w:r>
          </w:p>
          <w:p w:rsidR="00C74014" w:rsidRPr="004A52D1" w:rsidRDefault="00C74014" w:rsidP="004A52D1">
            <w:pPr>
              <w:spacing w:after="0" w:line="240" w:lineRule="auto"/>
              <w:rPr>
                <w:szCs w:val="24"/>
              </w:rPr>
            </w:pPr>
          </w:p>
          <w:p w:rsidR="004A52D1" w:rsidRPr="004A52D1" w:rsidRDefault="004A52D1" w:rsidP="004A52D1">
            <w:pPr>
              <w:spacing w:after="0" w:line="240" w:lineRule="auto"/>
              <w:rPr>
                <w:szCs w:val="24"/>
                <w:u w:val="single"/>
              </w:rPr>
            </w:pPr>
            <w:r w:rsidRPr="004A52D1">
              <w:rPr>
                <w:szCs w:val="24"/>
                <w:u w:val="single"/>
              </w:rPr>
              <w:t>Qualified Trade or Business</w:t>
            </w:r>
          </w:p>
          <w:p w:rsidR="004A52D1" w:rsidRPr="004A52D1" w:rsidRDefault="004A52D1" w:rsidP="004A52D1">
            <w:pPr>
              <w:spacing w:after="0" w:line="240" w:lineRule="auto"/>
              <w:rPr>
                <w:szCs w:val="24"/>
              </w:rPr>
            </w:pPr>
            <w:r w:rsidRPr="004A52D1">
              <w:rPr>
                <w:szCs w:val="24"/>
              </w:rPr>
              <w:t xml:space="preserve">While Section 199A retained the former Section 199 basic requirement that there be a trade or business, it refers to that term slightly differently and in two different contexts.  What is unchanged is that to qualify for the 20% deduction under Section 199A the income must be derived from activities of the trade or business “carried on” </w:t>
            </w:r>
            <w:r w:rsidRPr="004A52D1">
              <w:rPr>
                <w:szCs w:val="24"/>
                <w:u w:val="single"/>
              </w:rPr>
              <w:t>by the taxpayer</w:t>
            </w:r>
            <w:r w:rsidRPr="004A52D1">
              <w:rPr>
                <w:szCs w:val="24"/>
              </w:rPr>
              <w:t xml:space="preserve">.  </w:t>
            </w:r>
          </w:p>
          <w:p w:rsidR="004A52D1" w:rsidRPr="004A52D1" w:rsidRDefault="004A52D1" w:rsidP="004A52D1">
            <w:pPr>
              <w:spacing w:after="0" w:line="240" w:lineRule="auto"/>
              <w:rPr>
                <w:szCs w:val="24"/>
              </w:rPr>
            </w:pPr>
          </w:p>
          <w:p w:rsidR="004A52D1" w:rsidRPr="004A52D1" w:rsidRDefault="004A52D1" w:rsidP="004A52D1">
            <w:pPr>
              <w:spacing w:after="0" w:line="240" w:lineRule="auto"/>
              <w:rPr>
                <w:szCs w:val="24"/>
              </w:rPr>
            </w:pPr>
            <w:r w:rsidRPr="004A52D1">
              <w:rPr>
                <w:szCs w:val="24"/>
              </w:rPr>
              <w:t>The concept of what is “carried on” by the taxpayer, however, is not self-apparent as to whether this was meant to narrow the terminology under former Section 199.  Unchanged is that Section 199A does provide look-through rules that impute active trade or business activities of a partnership, limited liability company or other pass-through entity</w:t>
            </w:r>
            <w:r w:rsidRPr="004A52D1">
              <w:rPr>
                <w:szCs w:val="24"/>
                <w:vertAlign w:val="superscript"/>
              </w:rPr>
              <w:footnoteReference w:id="9"/>
            </w:r>
            <w:r w:rsidRPr="004A52D1">
              <w:rPr>
                <w:szCs w:val="24"/>
              </w:rPr>
              <w:t xml:space="preserve"> (“pass-through entities”) to its individual investor owners.  Likewise, there is attribution to beneficiaries of a trust or estate.  </w:t>
            </w:r>
          </w:p>
          <w:p w:rsidR="004A52D1" w:rsidRPr="004A52D1" w:rsidRDefault="004A52D1" w:rsidP="004A52D1">
            <w:pPr>
              <w:spacing w:after="0" w:line="240" w:lineRule="auto"/>
              <w:rPr>
                <w:szCs w:val="24"/>
              </w:rPr>
            </w:pPr>
          </w:p>
          <w:p w:rsidR="004A52D1" w:rsidRPr="004A52D1" w:rsidRDefault="004A52D1" w:rsidP="004A52D1">
            <w:pPr>
              <w:spacing w:after="0" w:line="240" w:lineRule="auto"/>
              <w:rPr>
                <w:szCs w:val="24"/>
              </w:rPr>
            </w:pPr>
            <w:r w:rsidRPr="004A52D1">
              <w:rPr>
                <w:szCs w:val="24"/>
              </w:rPr>
              <w:lastRenderedPageBreak/>
              <w:t>However, the question arises as to whether the revised language is somehow intended to address who conducts the activities.  Namely, is there a difference between whether an individual or pass-through entity directly conducts the activities or indirectly operates by contracting to have activities performed through an independent manager or outside service company.  At least by case law, this should not make a difference.</w:t>
            </w:r>
          </w:p>
          <w:p w:rsidR="004A52D1" w:rsidRPr="004A52D1" w:rsidRDefault="004A52D1" w:rsidP="004A52D1">
            <w:pPr>
              <w:spacing w:after="0" w:line="240" w:lineRule="auto"/>
              <w:rPr>
                <w:szCs w:val="24"/>
              </w:rPr>
            </w:pPr>
          </w:p>
          <w:p w:rsidR="004A52D1" w:rsidRPr="004A52D1" w:rsidRDefault="004A52D1" w:rsidP="004A52D1">
            <w:pPr>
              <w:spacing w:after="0" w:line="240" w:lineRule="auto"/>
              <w:rPr>
                <w:szCs w:val="24"/>
              </w:rPr>
            </w:pPr>
            <w:r w:rsidRPr="004A52D1">
              <w:rPr>
                <w:szCs w:val="24"/>
              </w:rPr>
              <w:t xml:space="preserve">In particular, the Ninth Circuit supported that there need not be employees or activity by the taxpayer him or itself, and an outside provider may instead conduct the business activities under a grant of authority from the taxpayer.  </w:t>
            </w:r>
            <w:proofErr w:type="spellStart"/>
            <w:r w:rsidRPr="004A52D1">
              <w:rPr>
                <w:szCs w:val="24"/>
                <w:u w:val="single"/>
              </w:rPr>
              <w:t>Lewenhaupt</w:t>
            </w:r>
            <w:proofErr w:type="spellEnd"/>
            <w:r w:rsidRPr="004A52D1">
              <w:rPr>
                <w:szCs w:val="24"/>
                <w:u w:val="single"/>
              </w:rPr>
              <w:t xml:space="preserve"> v. Commissioner</w:t>
            </w:r>
            <w:r w:rsidRPr="004A52D1">
              <w:rPr>
                <w:szCs w:val="24"/>
              </w:rPr>
              <w:t xml:space="preserve">, 20 T.C. 151 (1953), aff’d. per </w:t>
            </w:r>
            <w:proofErr w:type="spellStart"/>
            <w:r w:rsidRPr="004A52D1">
              <w:rPr>
                <w:szCs w:val="24"/>
              </w:rPr>
              <w:t>curiam</w:t>
            </w:r>
            <w:proofErr w:type="spellEnd"/>
            <w:r w:rsidRPr="004A52D1">
              <w:rPr>
                <w:szCs w:val="24"/>
              </w:rPr>
              <w:t xml:space="preserve"> 221 F.2d 227 (9th Cir. 1955).  </w:t>
            </w:r>
          </w:p>
          <w:p w:rsidR="004A52D1" w:rsidRPr="004A52D1" w:rsidRDefault="004A52D1" w:rsidP="004A52D1">
            <w:pPr>
              <w:spacing w:after="0" w:line="240" w:lineRule="auto"/>
              <w:rPr>
                <w:szCs w:val="24"/>
              </w:rPr>
            </w:pPr>
          </w:p>
          <w:p w:rsidR="004A52D1" w:rsidRPr="004A52D1" w:rsidRDefault="004A52D1" w:rsidP="004A52D1">
            <w:pPr>
              <w:spacing w:after="0" w:line="240" w:lineRule="auto"/>
              <w:rPr>
                <w:szCs w:val="24"/>
              </w:rPr>
            </w:pPr>
            <w:r w:rsidRPr="004A52D1">
              <w:rPr>
                <w:szCs w:val="24"/>
              </w:rPr>
              <w:t xml:space="preserve">In that decision, which is a highly interesting read, a Swedish citizen, connected by birth to the first California supreme court justice, had issued a war-time power of attorney which authorized a California broker to manage his California properties with the broker, holding “the power to buy, sell, lease, and mortgage real estate for and in the name of the petitioner, managed the petitioner's real properties and other financial affairs.” This authority alone in connection with the broker’s activities was found to be a trade or business with respect to the taxpayer, notwithstanding that the taxpayer remained overseas serving military duty and did not direct the activities.  </w:t>
            </w:r>
          </w:p>
          <w:p w:rsidR="004A52D1" w:rsidRPr="004A52D1" w:rsidRDefault="004A52D1" w:rsidP="004A52D1">
            <w:pPr>
              <w:spacing w:after="0" w:line="240" w:lineRule="auto"/>
              <w:rPr>
                <w:szCs w:val="24"/>
              </w:rPr>
            </w:pPr>
          </w:p>
          <w:p w:rsidR="004A52D1" w:rsidRPr="004A52D1" w:rsidRDefault="004A52D1" w:rsidP="004A52D1">
            <w:pPr>
              <w:spacing w:after="0" w:line="240" w:lineRule="auto"/>
              <w:rPr>
                <w:szCs w:val="24"/>
              </w:rPr>
            </w:pPr>
            <w:r w:rsidRPr="004A52D1">
              <w:rPr>
                <w:szCs w:val="24"/>
              </w:rPr>
              <w:t xml:space="preserve">On the other hand, the Internal Revenue Service may not follow the Ninth Circuit if there is any difference in the facts.  In Rev. Rul. 75-374, 1975-1 C.B. 261 the ruling asked whether co-tenants to an apartment community should be considered to be partners or merely co-tenants, wherein there was imputed in the decision whether their activities constituted a trade or business.  In that ruling, the Service analyzed Treasury Regulation Section 301.7701-1(a)(1).  Under regulations, a partnership would be recognized if the participants undertake to carry on a trade, business, financial operation, or venture and divide the profits therefrom.  </w:t>
            </w:r>
          </w:p>
          <w:p w:rsidR="004A52D1" w:rsidRPr="004A52D1" w:rsidRDefault="004A52D1" w:rsidP="004A52D1">
            <w:pPr>
              <w:spacing w:after="0" w:line="240" w:lineRule="auto"/>
              <w:rPr>
                <w:szCs w:val="24"/>
              </w:rPr>
            </w:pPr>
          </w:p>
          <w:p w:rsidR="004A52D1" w:rsidRPr="004A52D1" w:rsidRDefault="004A52D1" w:rsidP="004A52D1">
            <w:pPr>
              <w:spacing w:after="0" w:line="240" w:lineRule="auto"/>
              <w:rPr>
                <w:szCs w:val="24"/>
              </w:rPr>
            </w:pPr>
            <w:r w:rsidRPr="004A52D1">
              <w:rPr>
                <w:szCs w:val="24"/>
              </w:rPr>
              <w:t>Based on that regulation, the Service concluded that the mere coownership of property that is maintained, kept in repair, and rented and leased does not constitute a separate entity for federal tax purposes.  In reaching that opinion, the Service neither mentioned the Ninth Circuit court decision nor addressed attribution.  The import of that ruling is possibly that the Service only deals differently to address the standard to determine a partnership is without allowing attribution.  However, in the context of Section 199A, the ruling leaves a degree of uncertainty.</w:t>
            </w:r>
          </w:p>
          <w:p w:rsidR="004A52D1" w:rsidRPr="004A52D1" w:rsidRDefault="004A52D1" w:rsidP="004A52D1">
            <w:pPr>
              <w:spacing w:after="0" w:line="240" w:lineRule="auto"/>
              <w:rPr>
                <w:szCs w:val="24"/>
              </w:rPr>
            </w:pPr>
          </w:p>
          <w:p w:rsidR="004A52D1" w:rsidRPr="004A52D1" w:rsidRDefault="004A52D1" w:rsidP="004A52D1">
            <w:pPr>
              <w:spacing w:after="0" w:line="240" w:lineRule="auto"/>
              <w:rPr>
                <w:szCs w:val="24"/>
              </w:rPr>
            </w:pPr>
            <w:r w:rsidRPr="004A52D1">
              <w:rPr>
                <w:szCs w:val="24"/>
              </w:rPr>
              <w:t xml:space="preserve">Consequently, for rental properties, where outside management is employed, there may be an issue of uncertainty as to the application of Section 199A.  On the other hand, there are two possible responses.  First, if a taxpayer (or pass-through entity) demonstrates some level of taxpayer control over decisions and policy over third party contractors or management and contractors, the Service may be inclined to find attribution.   Second, at least within the Ninth Circuit, there is a position that attribution is allowed under </w:t>
            </w:r>
            <w:proofErr w:type="spellStart"/>
            <w:r w:rsidRPr="004A52D1">
              <w:rPr>
                <w:szCs w:val="24"/>
                <w:u w:val="single"/>
              </w:rPr>
              <w:t>Lewenhaupt</w:t>
            </w:r>
            <w:proofErr w:type="spellEnd"/>
            <w:r w:rsidRPr="004A52D1">
              <w:rPr>
                <w:szCs w:val="24"/>
              </w:rPr>
              <w:t xml:space="preserve"> to find an active trade or business if the outside management activities constitute a trade or business.</w:t>
            </w:r>
          </w:p>
          <w:p w:rsidR="004A52D1" w:rsidRDefault="004A52D1" w:rsidP="004A52D1">
            <w:pPr>
              <w:spacing w:after="0" w:line="240" w:lineRule="auto"/>
              <w:rPr>
                <w:szCs w:val="24"/>
              </w:rPr>
            </w:pPr>
          </w:p>
          <w:p w:rsidR="004A52D1" w:rsidRPr="004A52D1" w:rsidRDefault="004A52D1" w:rsidP="004A52D1">
            <w:pPr>
              <w:spacing w:after="0" w:line="240" w:lineRule="auto"/>
              <w:rPr>
                <w:szCs w:val="24"/>
              </w:rPr>
            </w:pPr>
            <w:r w:rsidRPr="004A52D1">
              <w:rPr>
                <w:szCs w:val="24"/>
              </w:rPr>
              <w:t>Under either standard, the level of real estate activities should be something beyond mere ownership.  There should be some showing of the performance of services that are considerable, continuous and regular.  (</w:t>
            </w:r>
            <w:r w:rsidRPr="004A52D1">
              <w:rPr>
                <w:szCs w:val="24"/>
                <w:u w:val="single"/>
              </w:rPr>
              <w:t>Herbert v. Commissioner</w:t>
            </w:r>
            <w:r w:rsidRPr="004A52D1">
              <w:rPr>
                <w:szCs w:val="24"/>
              </w:rPr>
              <w:t>, 30 T.C. 26 (1958))</w:t>
            </w:r>
            <w:r w:rsidRPr="004A52D1">
              <w:rPr>
                <w:szCs w:val="24"/>
                <w:vertAlign w:val="superscript"/>
              </w:rPr>
              <w:footnoteReference w:id="10"/>
            </w:r>
          </w:p>
          <w:p w:rsidR="004A52D1" w:rsidRPr="004A52D1" w:rsidRDefault="004A52D1" w:rsidP="004A52D1">
            <w:pPr>
              <w:spacing w:after="0" w:line="240" w:lineRule="auto"/>
              <w:rPr>
                <w:szCs w:val="24"/>
              </w:rPr>
            </w:pPr>
          </w:p>
          <w:p w:rsidR="004A52D1" w:rsidRPr="004A52D1" w:rsidRDefault="004A52D1" w:rsidP="004A52D1">
            <w:pPr>
              <w:spacing w:after="0" w:line="240" w:lineRule="auto"/>
              <w:rPr>
                <w:szCs w:val="24"/>
              </w:rPr>
            </w:pPr>
            <w:r w:rsidRPr="004A52D1">
              <w:rPr>
                <w:szCs w:val="24"/>
              </w:rPr>
              <w:t xml:space="preserve">Furthermore, it would appear that the passive activity loss rules should not be determinative as to what is a trade or business.  Conceptually, Section 469 was designed to determine an “active” trade or business, wherein Section 469 itself does not dispute the existence of a trade or business, but asks whether the level of activities </w:t>
            </w:r>
            <w:proofErr w:type="gramStart"/>
            <w:r w:rsidRPr="004A52D1">
              <w:rPr>
                <w:szCs w:val="24"/>
              </w:rPr>
              <w:t>are</w:t>
            </w:r>
            <w:proofErr w:type="gramEnd"/>
            <w:r w:rsidRPr="004A52D1">
              <w:rPr>
                <w:szCs w:val="24"/>
              </w:rPr>
              <w:t xml:space="preserve"> sufficient to label a business active or passive or, by statutory definition is deemed passive, unless otherwise prescribed.  More to the point, Section 199A, itself, does not refer to any part of Section 469 passive activity rules as guidance but refers to Section 469 in the ordering rules, as discussed below.  </w:t>
            </w:r>
          </w:p>
          <w:p w:rsidR="004A52D1" w:rsidRPr="004A52D1" w:rsidRDefault="004A52D1" w:rsidP="004A52D1">
            <w:pPr>
              <w:spacing w:after="0" w:line="240" w:lineRule="auto"/>
              <w:rPr>
                <w:szCs w:val="24"/>
              </w:rPr>
            </w:pPr>
          </w:p>
          <w:p w:rsidR="004A52D1" w:rsidRPr="004A52D1" w:rsidRDefault="004A52D1" w:rsidP="004A52D1">
            <w:pPr>
              <w:spacing w:after="0" w:line="240" w:lineRule="auto"/>
              <w:rPr>
                <w:szCs w:val="24"/>
              </w:rPr>
            </w:pPr>
            <w:r w:rsidRPr="004A52D1">
              <w:rPr>
                <w:szCs w:val="24"/>
              </w:rPr>
              <w:t>So, where does this take us?  Absent guidance, there are both case law and IRS position statements as to what is a trade or business.   For rentals of multi-family and commercial rentals, these questions require further guidance.  There is a possible risk of disparate treatment of similar taxpayers with respect to (</w:t>
            </w:r>
            <w:proofErr w:type="spellStart"/>
            <w:r w:rsidRPr="004A52D1">
              <w:rPr>
                <w:szCs w:val="24"/>
              </w:rPr>
              <w:t>i</w:t>
            </w:r>
            <w:proofErr w:type="spellEnd"/>
            <w:r w:rsidRPr="004A52D1">
              <w:rPr>
                <w:szCs w:val="24"/>
              </w:rPr>
              <w:t>) who qualifies due to third party activity attribution and (ii) what activities will be considered substantial, considerable and regular.</w:t>
            </w:r>
          </w:p>
          <w:p w:rsidR="004A52D1" w:rsidRPr="004A52D1" w:rsidRDefault="004A52D1" w:rsidP="004A52D1">
            <w:pPr>
              <w:spacing w:after="0" w:line="240" w:lineRule="auto"/>
              <w:rPr>
                <w:szCs w:val="24"/>
              </w:rPr>
            </w:pPr>
          </w:p>
          <w:p w:rsidR="004A52D1" w:rsidRPr="004A52D1" w:rsidRDefault="004A52D1" w:rsidP="004A52D1">
            <w:pPr>
              <w:spacing w:after="0" w:line="240" w:lineRule="auto"/>
              <w:rPr>
                <w:szCs w:val="24"/>
                <w:u w:val="single"/>
              </w:rPr>
            </w:pPr>
            <w:r w:rsidRPr="004A52D1">
              <w:rPr>
                <w:szCs w:val="24"/>
                <w:u w:val="single"/>
              </w:rPr>
              <w:t xml:space="preserve">Qualified Items of Income. </w:t>
            </w:r>
          </w:p>
          <w:p w:rsidR="004A52D1" w:rsidRPr="004A52D1" w:rsidRDefault="004A52D1" w:rsidP="004A52D1">
            <w:pPr>
              <w:spacing w:after="0" w:line="240" w:lineRule="auto"/>
              <w:rPr>
                <w:szCs w:val="24"/>
              </w:rPr>
            </w:pPr>
          </w:p>
          <w:p w:rsidR="004A52D1" w:rsidRPr="004A52D1" w:rsidRDefault="004A52D1" w:rsidP="004A52D1">
            <w:pPr>
              <w:spacing w:after="0" w:line="240" w:lineRule="auto"/>
              <w:rPr>
                <w:szCs w:val="24"/>
              </w:rPr>
            </w:pPr>
            <w:r w:rsidRPr="004A52D1">
              <w:rPr>
                <w:szCs w:val="24"/>
              </w:rPr>
              <w:t>It is also important to look at other terms of the statute.</w:t>
            </w:r>
          </w:p>
          <w:p w:rsidR="004A52D1" w:rsidRPr="004A52D1" w:rsidRDefault="004A52D1" w:rsidP="004A52D1">
            <w:pPr>
              <w:spacing w:after="0" w:line="240" w:lineRule="auto"/>
              <w:rPr>
                <w:szCs w:val="24"/>
              </w:rPr>
            </w:pPr>
          </w:p>
          <w:p w:rsidR="004A52D1" w:rsidRPr="004A52D1" w:rsidRDefault="004A52D1" w:rsidP="004A52D1">
            <w:pPr>
              <w:spacing w:after="0" w:line="240" w:lineRule="auto"/>
              <w:rPr>
                <w:szCs w:val="24"/>
              </w:rPr>
            </w:pPr>
            <w:r w:rsidRPr="004A52D1">
              <w:rPr>
                <w:szCs w:val="24"/>
              </w:rPr>
              <w:t xml:space="preserve">As previously stated, qualified items of income will not include capital gains and losses, dividends, interest and annuity income.  That’s well enough and even under former Section 199 domestic production deduction such income would not have qualified.  Furthermore, Section 199A expressly excludes from treatment as qualified income any income that is considered foreign personal holding company income (interests, dividends, rents and royalties) – referencing provisions for Subpart F income.  It also redefines the exclusion to not be limited to a “controlled foreign corporation.”  </w:t>
            </w:r>
          </w:p>
          <w:p w:rsidR="004A52D1" w:rsidRPr="004A52D1" w:rsidRDefault="004A52D1" w:rsidP="004A52D1">
            <w:pPr>
              <w:spacing w:after="0" w:line="240" w:lineRule="auto"/>
              <w:rPr>
                <w:szCs w:val="24"/>
              </w:rPr>
            </w:pPr>
          </w:p>
          <w:p w:rsidR="004A52D1" w:rsidRPr="004A52D1" w:rsidRDefault="004A52D1" w:rsidP="004A52D1">
            <w:pPr>
              <w:spacing w:after="0" w:line="240" w:lineRule="auto"/>
              <w:rPr>
                <w:szCs w:val="24"/>
              </w:rPr>
            </w:pPr>
            <w:r w:rsidRPr="004A52D1">
              <w:rPr>
                <w:szCs w:val="24"/>
              </w:rPr>
              <w:t xml:space="preserve">It would seem that the focus is to assure that no benefit will be granted to foreign passive holding company income, regardless of control.  However, this provision seems somewhat unnecessary, except to complete the exclusion of foreign income not limited to income from a foreign trade or business.  If Congress intended </w:t>
            </w:r>
            <w:r w:rsidRPr="004A52D1">
              <w:rPr>
                <w:szCs w:val="24"/>
              </w:rPr>
              <w:lastRenderedPageBreak/>
              <w:t>something different, further guidance will be needed.</w:t>
            </w:r>
          </w:p>
          <w:p w:rsidR="004A52D1" w:rsidRPr="004A52D1" w:rsidRDefault="004A52D1" w:rsidP="004A52D1">
            <w:pPr>
              <w:spacing w:after="0" w:line="240" w:lineRule="auto"/>
              <w:rPr>
                <w:szCs w:val="24"/>
              </w:rPr>
            </w:pPr>
          </w:p>
          <w:p w:rsidR="004A52D1" w:rsidRPr="004A52D1" w:rsidRDefault="004A52D1" w:rsidP="004A52D1">
            <w:pPr>
              <w:spacing w:after="0" w:line="240" w:lineRule="auto"/>
              <w:rPr>
                <w:szCs w:val="24"/>
              </w:rPr>
            </w:pPr>
            <w:r w:rsidRPr="004A52D1">
              <w:rPr>
                <w:szCs w:val="24"/>
              </w:rPr>
              <w:t xml:space="preserve">In addition, with respect to pass-through entities, it is required that an adjustment be made to deduct from business income amounts paid as reasonable compensation and as a guaranteed or equivalent payment to partners for services.  </w:t>
            </w:r>
          </w:p>
          <w:p w:rsidR="004A52D1" w:rsidRPr="004A52D1" w:rsidRDefault="004A52D1" w:rsidP="004A52D1">
            <w:pPr>
              <w:spacing w:after="0" w:line="240" w:lineRule="auto"/>
              <w:rPr>
                <w:szCs w:val="24"/>
              </w:rPr>
            </w:pPr>
          </w:p>
          <w:p w:rsidR="004A52D1" w:rsidRPr="004A52D1" w:rsidRDefault="004A52D1" w:rsidP="004A52D1">
            <w:pPr>
              <w:spacing w:after="0" w:line="240" w:lineRule="auto"/>
              <w:rPr>
                <w:szCs w:val="24"/>
              </w:rPr>
            </w:pPr>
            <w:r w:rsidRPr="004A52D1">
              <w:rPr>
                <w:szCs w:val="24"/>
                <w:u w:val="single"/>
              </w:rPr>
              <w:t>Effectively Connected</w:t>
            </w:r>
            <w:r w:rsidRPr="004A52D1">
              <w:rPr>
                <w:szCs w:val="24"/>
              </w:rPr>
              <w:t xml:space="preserve">.  </w:t>
            </w:r>
          </w:p>
          <w:p w:rsidR="004A52D1" w:rsidRPr="004A52D1" w:rsidRDefault="004A52D1" w:rsidP="004A52D1">
            <w:pPr>
              <w:spacing w:after="0" w:line="240" w:lineRule="auto"/>
              <w:rPr>
                <w:szCs w:val="24"/>
              </w:rPr>
            </w:pPr>
          </w:p>
          <w:p w:rsidR="004A52D1" w:rsidRPr="004A52D1" w:rsidRDefault="004A52D1" w:rsidP="004A52D1">
            <w:pPr>
              <w:spacing w:after="0" w:line="240" w:lineRule="auto"/>
              <w:rPr>
                <w:szCs w:val="24"/>
              </w:rPr>
            </w:pPr>
            <w:r w:rsidRPr="004A52D1">
              <w:rPr>
                <w:szCs w:val="24"/>
              </w:rPr>
              <w:t>Section 199A provides that the trade or business must be “effectively connected” with the conduct of a US trade or business.  While intended to identify that the benefit is not from foreign trade or business income, one has to look at the term “effectively connected” as it has had a long history – and the result may not be as Congress intended.</w:t>
            </w:r>
          </w:p>
          <w:p w:rsidR="004A52D1" w:rsidRPr="004A52D1" w:rsidRDefault="004A52D1" w:rsidP="004A52D1">
            <w:pPr>
              <w:spacing w:after="0" w:line="240" w:lineRule="auto"/>
              <w:rPr>
                <w:szCs w:val="24"/>
              </w:rPr>
            </w:pPr>
          </w:p>
          <w:p w:rsidR="004A52D1" w:rsidRPr="004A52D1" w:rsidRDefault="004A52D1" w:rsidP="004A52D1">
            <w:pPr>
              <w:spacing w:after="0" w:line="240" w:lineRule="auto"/>
              <w:rPr>
                <w:szCs w:val="24"/>
              </w:rPr>
            </w:pPr>
            <w:r w:rsidRPr="004A52D1">
              <w:rPr>
                <w:szCs w:val="24"/>
              </w:rPr>
              <w:t xml:space="preserve">In particular, the IRS in publications and on its web site states that the concept of “effectively connected” specifically </w:t>
            </w:r>
            <w:r w:rsidRPr="004A52D1">
              <w:rPr>
                <w:b/>
                <w:szCs w:val="24"/>
              </w:rPr>
              <w:t>excludes</w:t>
            </w:r>
            <w:r w:rsidRPr="004A52D1">
              <w:rPr>
                <w:szCs w:val="24"/>
              </w:rPr>
              <w:t xml:space="preserve"> “real property income, such as rents, other than gains from the sale of real property.” (</w:t>
            </w:r>
            <w:hyperlink r:id="rId7" w:history="1">
              <w:r w:rsidRPr="004A52D1">
                <w:rPr>
                  <w:rStyle w:val="Hyperlink"/>
                  <w:szCs w:val="24"/>
                </w:rPr>
                <w:t>www.irs.gov/individuals/international-taxpayers/fixed-determinable-annual-periodical-fdap-income</w:t>
              </w:r>
            </w:hyperlink>
            <w:r w:rsidRPr="004A52D1">
              <w:rPr>
                <w:szCs w:val="24"/>
              </w:rPr>
              <w:t xml:space="preserve">) </w:t>
            </w:r>
          </w:p>
          <w:p w:rsidR="004A52D1" w:rsidRPr="004A52D1" w:rsidRDefault="004A52D1" w:rsidP="004A52D1">
            <w:pPr>
              <w:spacing w:after="0" w:line="240" w:lineRule="auto"/>
              <w:rPr>
                <w:szCs w:val="24"/>
              </w:rPr>
            </w:pPr>
          </w:p>
          <w:p w:rsidR="004A52D1" w:rsidRPr="004A52D1" w:rsidRDefault="004A52D1" w:rsidP="004A52D1">
            <w:pPr>
              <w:spacing w:after="0" w:line="240" w:lineRule="auto"/>
              <w:rPr>
                <w:szCs w:val="24"/>
              </w:rPr>
            </w:pPr>
            <w:r w:rsidRPr="004A52D1">
              <w:rPr>
                <w:szCs w:val="24"/>
              </w:rPr>
              <w:t xml:space="preserve">The problem, however, is that this position appears to run contrary to statutes and regulations applying this concept.  And if Section 199A is an expansion of Section 199 – which included rental income (if property is produced by the taxpayer), it would be wholly contrary to the intent of the statute in removing the production requirement from former Section 199 to eliminate rentals.  Accordingly, it is uncertain whether the IRS would apply its position unreasonably.  </w:t>
            </w:r>
          </w:p>
          <w:p w:rsidR="004A52D1" w:rsidRPr="004A52D1" w:rsidRDefault="004A52D1" w:rsidP="004A52D1">
            <w:pPr>
              <w:spacing w:after="0" w:line="240" w:lineRule="auto"/>
              <w:rPr>
                <w:szCs w:val="24"/>
              </w:rPr>
            </w:pPr>
          </w:p>
          <w:p w:rsidR="004A52D1" w:rsidRPr="004A52D1" w:rsidRDefault="004A52D1" w:rsidP="004A52D1">
            <w:pPr>
              <w:spacing w:after="0" w:line="240" w:lineRule="auto"/>
              <w:rPr>
                <w:szCs w:val="24"/>
              </w:rPr>
            </w:pPr>
            <w:r w:rsidRPr="004A52D1">
              <w:rPr>
                <w:szCs w:val="24"/>
              </w:rPr>
              <w:t xml:space="preserve">More specifically, in the framework of the statutes determining effectively connected income, the regulations under Section 871, do not exclude either rents or real estate from being effectively connected with a United States trade or business.  Rather, under Treas. Reg. 1.871-10, the election to treat rental income as effectively connected is expressly stated that it </w:t>
            </w:r>
            <w:r w:rsidRPr="004A52D1">
              <w:rPr>
                <w:b/>
                <w:i/>
                <w:szCs w:val="24"/>
              </w:rPr>
              <w:t>may</w:t>
            </w:r>
            <w:r w:rsidRPr="004A52D1">
              <w:rPr>
                <w:szCs w:val="24"/>
              </w:rPr>
              <w:t xml:space="preserve"> be made regardless of whether real property activities give rise to a trade or business or not.  It states:</w:t>
            </w:r>
          </w:p>
          <w:p w:rsidR="004A52D1" w:rsidRPr="004A52D1" w:rsidRDefault="004A52D1" w:rsidP="004A52D1">
            <w:pPr>
              <w:spacing w:after="0" w:line="240" w:lineRule="auto"/>
              <w:rPr>
                <w:szCs w:val="24"/>
              </w:rPr>
            </w:pPr>
          </w:p>
          <w:p w:rsidR="004A52D1" w:rsidRPr="004A52D1" w:rsidRDefault="004A52D1" w:rsidP="004A52D1">
            <w:pPr>
              <w:spacing w:after="0" w:line="240" w:lineRule="auto"/>
              <w:rPr>
                <w:szCs w:val="24"/>
              </w:rPr>
            </w:pPr>
            <w:r w:rsidRPr="004A52D1">
              <w:rPr>
                <w:szCs w:val="24"/>
              </w:rPr>
              <w:t>The election may be made whether or not the taxpayer is engaged in trade or business in the United States during the taxable year for which the election is made or whether or not the taxpayer has income from real property which for the taxable year is effectively connected with the conduct of a trade or business in the United States.   (Treas. Reg. 1.871-10(a).)</w:t>
            </w:r>
          </w:p>
          <w:p w:rsidR="004A52D1" w:rsidRPr="004A52D1" w:rsidRDefault="004A52D1" w:rsidP="004A52D1">
            <w:pPr>
              <w:spacing w:after="0" w:line="240" w:lineRule="auto"/>
              <w:rPr>
                <w:szCs w:val="24"/>
              </w:rPr>
            </w:pPr>
          </w:p>
          <w:p w:rsidR="004A52D1" w:rsidRPr="004A52D1" w:rsidRDefault="004A52D1" w:rsidP="004A52D1">
            <w:pPr>
              <w:spacing w:after="0" w:line="240" w:lineRule="auto"/>
              <w:rPr>
                <w:szCs w:val="24"/>
              </w:rPr>
            </w:pPr>
            <w:r w:rsidRPr="004A52D1">
              <w:rPr>
                <w:szCs w:val="24"/>
              </w:rPr>
              <w:t xml:space="preserve">For Section 871, the point of this election was to both change characterization and to provide a safe harbor for rental real estate trade or business activities.  The fact that Section 199A offers no such safe harbor does not eliminate the right for rental activities to be an active trade or business.  However, the IRS’s position may create greater issues for the application of Section 199A to rental activities.  </w:t>
            </w:r>
          </w:p>
          <w:p w:rsidR="004A52D1" w:rsidRPr="004A52D1" w:rsidRDefault="004A52D1" w:rsidP="004A52D1">
            <w:pPr>
              <w:spacing w:after="0" w:line="240" w:lineRule="auto"/>
              <w:rPr>
                <w:szCs w:val="24"/>
              </w:rPr>
            </w:pPr>
          </w:p>
          <w:p w:rsidR="004A52D1" w:rsidRPr="004A52D1" w:rsidRDefault="004A52D1" w:rsidP="004A52D1">
            <w:pPr>
              <w:spacing w:after="0" w:line="240" w:lineRule="auto"/>
              <w:rPr>
                <w:szCs w:val="24"/>
              </w:rPr>
            </w:pPr>
            <w:r w:rsidRPr="004A52D1">
              <w:rPr>
                <w:szCs w:val="24"/>
              </w:rPr>
              <w:t xml:space="preserve">So, where does this leave the term “effectively connected”?  </w:t>
            </w:r>
            <w:bookmarkStart w:id="0" w:name="_GoBack"/>
            <w:bookmarkEnd w:id="0"/>
            <w:r w:rsidR="00C74014" w:rsidRPr="004A52D1">
              <w:rPr>
                <w:szCs w:val="24"/>
              </w:rPr>
              <w:t>Certainly,</w:t>
            </w:r>
            <w:r w:rsidRPr="004A52D1">
              <w:rPr>
                <w:szCs w:val="24"/>
              </w:rPr>
              <w:t xml:space="preserve"> it limits the deduction to activities that occur only within the United States.  And, as a borrowed term, it allows taxpayers to cite conceptually as to the term “trade or business” with reference to case law under Section 871.  But beyond that, the statute’s </w:t>
            </w:r>
            <w:r w:rsidRPr="004A52D1">
              <w:rPr>
                <w:szCs w:val="24"/>
              </w:rPr>
              <w:lastRenderedPageBreak/>
              <w:t>addition of this term, rather than retaining the former terms under Section 199 which simply referenced activities in the United States, may provide more confusion.</w:t>
            </w:r>
          </w:p>
          <w:p w:rsidR="004A52D1" w:rsidRPr="004A52D1" w:rsidRDefault="004A52D1" w:rsidP="004A52D1">
            <w:pPr>
              <w:spacing w:after="0" w:line="240" w:lineRule="auto"/>
              <w:rPr>
                <w:szCs w:val="24"/>
              </w:rPr>
            </w:pPr>
          </w:p>
          <w:p w:rsidR="004A52D1" w:rsidRPr="004A52D1" w:rsidRDefault="004A52D1" w:rsidP="004A52D1">
            <w:pPr>
              <w:spacing w:after="0" w:line="240" w:lineRule="auto"/>
              <w:rPr>
                <w:szCs w:val="24"/>
                <w:u w:val="single"/>
              </w:rPr>
            </w:pPr>
            <w:r w:rsidRPr="004A52D1">
              <w:rPr>
                <w:szCs w:val="24"/>
                <w:u w:val="single"/>
              </w:rPr>
              <w:t>Wage Limit; Wage-Basis Limit; Small Taxpayers</w:t>
            </w:r>
          </w:p>
          <w:p w:rsidR="004A52D1" w:rsidRPr="004A52D1" w:rsidRDefault="004A52D1" w:rsidP="004A52D1">
            <w:pPr>
              <w:spacing w:after="0" w:line="240" w:lineRule="auto"/>
              <w:rPr>
                <w:szCs w:val="24"/>
              </w:rPr>
            </w:pPr>
          </w:p>
          <w:p w:rsidR="004A52D1" w:rsidRPr="004A52D1" w:rsidRDefault="004A52D1" w:rsidP="004A52D1">
            <w:pPr>
              <w:spacing w:after="0" w:line="240" w:lineRule="auto"/>
              <w:rPr>
                <w:szCs w:val="24"/>
              </w:rPr>
            </w:pPr>
            <w:r w:rsidRPr="004A52D1">
              <w:rPr>
                <w:szCs w:val="24"/>
              </w:rPr>
              <w:t>The other hurdle for the real estate industry is the impact of alternate limits that reduce the allowable portion of the 20% deduction.  Section 199A provides more options, but slightly modified terminology that may shift which enterprises will qualify for Section 199A.</w:t>
            </w:r>
          </w:p>
          <w:p w:rsidR="004A52D1" w:rsidRPr="004A52D1" w:rsidRDefault="004A52D1" w:rsidP="004A52D1">
            <w:pPr>
              <w:spacing w:after="0" w:line="240" w:lineRule="auto"/>
              <w:rPr>
                <w:szCs w:val="24"/>
              </w:rPr>
            </w:pPr>
          </w:p>
          <w:p w:rsidR="004A52D1" w:rsidRPr="004A52D1" w:rsidRDefault="004A52D1" w:rsidP="004A52D1">
            <w:pPr>
              <w:spacing w:after="0" w:line="240" w:lineRule="auto"/>
              <w:rPr>
                <w:szCs w:val="24"/>
              </w:rPr>
            </w:pPr>
            <w:r w:rsidRPr="004A52D1">
              <w:rPr>
                <w:szCs w:val="24"/>
              </w:rPr>
              <w:t>Under Section 199A, there are three alternative limitations to C-QBIA.  The deductible C-QBIA amount allowed is the greater of the amount under the following three limits: (</w:t>
            </w:r>
            <w:proofErr w:type="spellStart"/>
            <w:r w:rsidRPr="004A52D1">
              <w:rPr>
                <w:szCs w:val="24"/>
              </w:rPr>
              <w:t>i</w:t>
            </w:r>
            <w:proofErr w:type="spellEnd"/>
            <w:r w:rsidRPr="004A52D1">
              <w:rPr>
                <w:szCs w:val="24"/>
              </w:rPr>
              <w:t>) the Small Taxpayer Exception, (ii) a Simple Wage Limit or (</w:t>
            </w:r>
            <w:proofErr w:type="spellStart"/>
            <w:r w:rsidRPr="004A52D1">
              <w:rPr>
                <w:szCs w:val="24"/>
              </w:rPr>
              <w:t>iiii</w:t>
            </w:r>
            <w:proofErr w:type="spellEnd"/>
            <w:r w:rsidRPr="004A52D1">
              <w:rPr>
                <w:szCs w:val="24"/>
              </w:rPr>
              <w:t>) a Wage-Basis Limit.</w:t>
            </w:r>
          </w:p>
          <w:p w:rsidR="004A52D1" w:rsidRPr="004A52D1" w:rsidRDefault="004A52D1" w:rsidP="004A52D1">
            <w:pPr>
              <w:spacing w:after="0" w:line="240" w:lineRule="auto"/>
              <w:rPr>
                <w:szCs w:val="24"/>
              </w:rPr>
            </w:pPr>
          </w:p>
          <w:p w:rsidR="004A52D1" w:rsidRPr="004A52D1" w:rsidRDefault="004A52D1" w:rsidP="004A52D1">
            <w:pPr>
              <w:numPr>
                <w:ilvl w:val="0"/>
                <w:numId w:val="12"/>
              </w:numPr>
              <w:spacing w:after="0" w:line="240" w:lineRule="auto"/>
              <w:rPr>
                <w:bCs/>
                <w:szCs w:val="24"/>
              </w:rPr>
            </w:pPr>
            <w:r w:rsidRPr="004A52D1">
              <w:rPr>
                <w:bCs/>
                <w:szCs w:val="24"/>
                <w:u w:val="single"/>
              </w:rPr>
              <w:t>Small Taxpayer Exception</w:t>
            </w:r>
            <w:r w:rsidRPr="004A52D1">
              <w:rPr>
                <w:bCs/>
                <w:szCs w:val="24"/>
              </w:rPr>
              <w:t>.  Small taxpayers are not limited by wages or tax basis.  For taxpayers with not more than $157,000 ($314,000, married filing jointly) in taxable income, there is no further limit on the amount of C-QBIA.  If there are qualified items of income, the 20% deduction is allowed.</w:t>
            </w:r>
          </w:p>
          <w:p w:rsidR="004A52D1" w:rsidRPr="004A52D1" w:rsidRDefault="004A52D1" w:rsidP="004A52D1">
            <w:pPr>
              <w:spacing w:after="0" w:line="240" w:lineRule="auto"/>
              <w:rPr>
                <w:bCs/>
                <w:szCs w:val="24"/>
                <w:u w:val="single"/>
              </w:rPr>
            </w:pPr>
          </w:p>
          <w:p w:rsidR="004A52D1" w:rsidRPr="004A52D1" w:rsidRDefault="004A52D1" w:rsidP="004A52D1">
            <w:pPr>
              <w:spacing w:after="0" w:line="240" w:lineRule="auto"/>
              <w:rPr>
                <w:bCs/>
                <w:szCs w:val="24"/>
              </w:rPr>
            </w:pPr>
            <w:r w:rsidRPr="004A52D1">
              <w:rPr>
                <w:bCs/>
                <w:szCs w:val="24"/>
              </w:rPr>
              <w:t>If taxable income exceeds the taxable income limit, there is a progressive phase-out of the tentative deduction, based on the percentage of the excess as relates to $50,000 ($100,000 if married, filing jointly) of taxable income above the limit.  Accordingly, the exemption is phased out to zero above $207,000 ($414,000, married filing jointly) in taxable income.  For example, if a single individual has taxable income $25,000 above the limit, then only one-half (25/50) of the Q-BIA amount will be deductible.</w:t>
            </w:r>
          </w:p>
          <w:p w:rsidR="004A52D1" w:rsidRPr="004A52D1" w:rsidRDefault="004A52D1" w:rsidP="004A52D1">
            <w:pPr>
              <w:spacing w:after="0" w:line="240" w:lineRule="auto"/>
              <w:rPr>
                <w:bCs/>
                <w:szCs w:val="24"/>
              </w:rPr>
            </w:pPr>
          </w:p>
          <w:p w:rsidR="004A52D1" w:rsidRPr="004A52D1" w:rsidRDefault="004A52D1" w:rsidP="004A52D1">
            <w:pPr>
              <w:spacing w:after="0" w:line="240" w:lineRule="auto"/>
              <w:rPr>
                <w:szCs w:val="24"/>
              </w:rPr>
            </w:pPr>
            <w:r w:rsidRPr="004A52D1">
              <w:rPr>
                <w:szCs w:val="24"/>
              </w:rPr>
              <w:tab/>
              <w:t xml:space="preserve">This small taxpayer exception is especially beneficial to taxpayers with small enterprises who engage in a “fix and flip” of houses, if taxable income is below the limits.  In addition, self-managed rental property, involving owner documented considerable, continuous and regular activities may qualify.  </w:t>
            </w:r>
          </w:p>
          <w:p w:rsidR="004A52D1" w:rsidRPr="004A52D1" w:rsidRDefault="004A52D1" w:rsidP="004A52D1">
            <w:pPr>
              <w:spacing w:after="0" w:line="240" w:lineRule="auto"/>
              <w:rPr>
                <w:szCs w:val="24"/>
              </w:rPr>
            </w:pPr>
          </w:p>
          <w:p w:rsidR="004A52D1" w:rsidRPr="004A52D1" w:rsidRDefault="004A52D1" w:rsidP="004A52D1">
            <w:pPr>
              <w:numPr>
                <w:ilvl w:val="0"/>
                <w:numId w:val="12"/>
              </w:numPr>
              <w:spacing w:after="0" w:line="240" w:lineRule="auto"/>
              <w:rPr>
                <w:bCs/>
                <w:szCs w:val="24"/>
              </w:rPr>
            </w:pPr>
            <w:r w:rsidRPr="004A52D1">
              <w:rPr>
                <w:bCs/>
                <w:szCs w:val="24"/>
                <w:u w:val="single"/>
              </w:rPr>
              <w:t>Simple Wage Limit</w:t>
            </w:r>
            <w:r w:rsidRPr="004A52D1">
              <w:rPr>
                <w:bCs/>
                <w:szCs w:val="24"/>
              </w:rPr>
              <w:t xml:space="preserve">.  Except for small taxpayers, generally the 20% deduction is limited to 50% of total reported wages.  And, consistent with former Section 199, the allowable Section 199A reported wages are only recognized if the annual Form W-2 reports are timely filed. </w:t>
            </w:r>
          </w:p>
          <w:p w:rsidR="004A52D1" w:rsidRPr="004A52D1" w:rsidRDefault="004A52D1" w:rsidP="004A52D1">
            <w:pPr>
              <w:spacing w:after="0" w:line="240" w:lineRule="auto"/>
              <w:rPr>
                <w:bCs/>
                <w:szCs w:val="24"/>
              </w:rPr>
            </w:pPr>
          </w:p>
          <w:p w:rsidR="004A52D1" w:rsidRPr="004A52D1" w:rsidRDefault="004A52D1" w:rsidP="004A52D1">
            <w:pPr>
              <w:spacing w:after="0" w:line="240" w:lineRule="auto"/>
              <w:rPr>
                <w:szCs w:val="24"/>
              </w:rPr>
            </w:pPr>
            <w:r w:rsidRPr="004A52D1">
              <w:rPr>
                <w:szCs w:val="24"/>
              </w:rPr>
              <w:t>For purposes of determining wages, regulations under the former Section 199 identified that includable wages may be paid by another person, but the wages must be in connection with employees of taxpayer.  Presumably this was to address employee leasing arrangements, wherein employees worked under the direction of a taxpayer, but were covered by the leasing agency.  (Treas. Reg. 1.199-2.)  This portion of the regulations should apply to Section 199A.</w:t>
            </w:r>
          </w:p>
          <w:p w:rsidR="004A52D1" w:rsidRPr="004A52D1" w:rsidRDefault="004A52D1" w:rsidP="004A52D1">
            <w:pPr>
              <w:spacing w:after="0" w:line="240" w:lineRule="auto"/>
              <w:rPr>
                <w:szCs w:val="24"/>
              </w:rPr>
            </w:pPr>
          </w:p>
          <w:p w:rsidR="004A52D1" w:rsidRPr="004A52D1" w:rsidRDefault="004A52D1" w:rsidP="004A52D1">
            <w:pPr>
              <w:spacing w:after="0" w:line="240" w:lineRule="auto"/>
              <w:rPr>
                <w:szCs w:val="24"/>
              </w:rPr>
            </w:pPr>
            <w:r w:rsidRPr="004A52D1">
              <w:rPr>
                <w:szCs w:val="24"/>
              </w:rPr>
              <w:t>For real estate contractors, property maintenance and management companies, set up as a proprietorship or pass-through entity having in-house employees, the simple wage limit provides substantial deduction.  This simple wage limit is a boon to service enterprises connected to the real estate industry.  Conversely, as discussed below, neither this limit nor the wage-basis limit may provide much benefit to many in the home builder industry.</w:t>
            </w:r>
          </w:p>
          <w:p w:rsidR="004A52D1" w:rsidRPr="004A52D1" w:rsidRDefault="004A52D1" w:rsidP="004A52D1">
            <w:pPr>
              <w:spacing w:after="0" w:line="240" w:lineRule="auto"/>
              <w:rPr>
                <w:szCs w:val="24"/>
              </w:rPr>
            </w:pPr>
          </w:p>
          <w:p w:rsidR="004A52D1" w:rsidRPr="004A52D1" w:rsidRDefault="004A52D1" w:rsidP="004A52D1">
            <w:pPr>
              <w:numPr>
                <w:ilvl w:val="0"/>
                <w:numId w:val="12"/>
              </w:numPr>
              <w:spacing w:after="0" w:line="240" w:lineRule="auto"/>
              <w:rPr>
                <w:bCs/>
                <w:szCs w:val="24"/>
              </w:rPr>
            </w:pPr>
            <w:r w:rsidRPr="004A52D1">
              <w:rPr>
                <w:bCs/>
                <w:szCs w:val="24"/>
                <w:u w:val="single"/>
              </w:rPr>
              <w:t>Wage-Basis Limit</w:t>
            </w:r>
            <w:r w:rsidRPr="004A52D1">
              <w:rPr>
                <w:bCs/>
                <w:szCs w:val="24"/>
              </w:rPr>
              <w:t>.  Alternatively, the 20% deduction may be limited to the sum of (</w:t>
            </w:r>
            <w:proofErr w:type="spellStart"/>
            <w:r w:rsidRPr="004A52D1">
              <w:rPr>
                <w:bCs/>
                <w:szCs w:val="24"/>
              </w:rPr>
              <w:t>i</w:t>
            </w:r>
            <w:proofErr w:type="spellEnd"/>
            <w:r w:rsidRPr="004A52D1">
              <w:rPr>
                <w:bCs/>
                <w:szCs w:val="24"/>
              </w:rPr>
              <w:t xml:space="preserve">) 25% of wages and (ii) 2.5% of unadjusted basis of depreciable property.  </w:t>
            </w:r>
          </w:p>
          <w:p w:rsidR="004A52D1" w:rsidRPr="004A52D1" w:rsidRDefault="004A52D1" w:rsidP="004A52D1">
            <w:pPr>
              <w:spacing w:after="0" w:line="240" w:lineRule="auto"/>
              <w:rPr>
                <w:bCs/>
                <w:szCs w:val="24"/>
              </w:rPr>
            </w:pPr>
          </w:p>
          <w:p w:rsidR="004A52D1" w:rsidRPr="004A52D1" w:rsidRDefault="004A52D1" w:rsidP="004A52D1">
            <w:pPr>
              <w:spacing w:after="0" w:line="240" w:lineRule="auto"/>
              <w:rPr>
                <w:bCs/>
                <w:szCs w:val="24"/>
              </w:rPr>
            </w:pPr>
            <w:r w:rsidRPr="004A52D1">
              <w:rPr>
                <w:bCs/>
                <w:szCs w:val="24"/>
              </w:rPr>
              <w:t xml:space="preserve">The wage-benefit limit, as explained further below, will have a significant benefit to larger property investment companies that are organized as a pass-through entity, whether or not the enterprise involves a service or rental of units.  For example, a large apartment or commercial property syndication will qualify. </w:t>
            </w:r>
          </w:p>
          <w:p w:rsidR="004A52D1" w:rsidRPr="004A52D1" w:rsidRDefault="004A52D1" w:rsidP="004A52D1">
            <w:pPr>
              <w:spacing w:after="0" w:line="240" w:lineRule="auto"/>
              <w:rPr>
                <w:szCs w:val="24"/>
              </w:rPr>
            </w:pPr>
          </w:p>
          <w:p w:rsidR="004A52D1" w:rsidRPr="004A52D1" w:rsidRDefault="004A52D1" w:rsidP="004A52D1">
            <w:pPr>
              <w:spacing w:after="0" w:line="240" w:lineRule="auto"/>
              <w:rPr>
                <w:szCs w:val="24"/>
              </w:rPr>
            </w:pPr>
            <w:r w:rsidRPr="004A52D1">
              <w:rPr>
                <w:szCs w:val="24"/>
                <w:u w:val="single"/>
              </w:rPr>
              <w:t>Wages</w:t>
            </w:r>
            <w:r w:rsidRPr="004A52D1">
              <w:rPr>
                <w:szCs w:val="24"/>
              </w:rPr>
              <w:t xml:space="preserve">.  </w:t>
            </w:r>
          </w:p>
          <w:p w:rsidR="004A52D1" w:rsidRPr="004A52D1" w:rsidRDefault="004A52D1" w:rsidP="004A52D1">
            <w:pPr>
              <w:spacing w:after="0" w:line="240" w:lineRule="auto"/>
              <w:rPr>
                <w:szCs w:val="24"/>
              </w:rPr>
            </w:pPr>
          </w:p>
          <w:p w:rsidR="004A52D1" w:rsidRPr="004A52D1" w:rsidRDefault="004A52D1" w:rsidP="004A52D1">
            <w:pPr>
              <w:spacing w:after="0" w:line="240" w:lineRule="auto"/>
              <w:rPr>
                <w:szCs w:val="24"/>
              </w:rPr>
            </w:pPr>
            <w:r w:rsidRPr="004A52D1">
              <w:rPr>
                <w:szCs w:val="24"/>
              </w:rPr>
              <w:t>Except for small taxpayers, one limit will be wages.  For wages to be counted, Section 199A states that it must be “paid by such person with respect to employment of employees by such person.”  (Section 199A(b)(4)(A</w:t>
            </w:r>
            <w:proofErr w:type="gramStart"/>
            <w:r w:rsidRPr="004A52D1">
              <w:rPr>
                <w:szCs w:val="24"/>
              </w:rPr>
              <w:t xml:space="preserve">))   </w:t>
            </w:r>
            <w:proofErr w:type="gramEnd"/>
            <w:r w:rsidRPr="004A52D1">
              <w:rPr>
                <w:szCs w:val="24"/>
              </w:rPr>
              <w:t>Simply translated, it appears to mean that wages paid by a third party does not appear to count.  For example, for rental properties, if all wages are paid by an affiliate management company, and charged to the investment, it appears that none of the wages would be counted as qualifying by the statute.</w:t>
            </w:r>
          </w:p>
          <w:p w:rsidR="004A52D1" w:rsidRPr="004A52D1" w:rsidRDefault="004A52D1" w:rsidP="004A52D1">
            <w:pPr>
              <w:spacing w:after="0" w:line="240" w:lineRule="auto"/>
              <w:rPr>
                <w:szCs w:val="24"/>
              </w:rPr>
            </w:pPr>
          </w:p>
          <w:p w:rsidR="004A52D1" w:rsidRPr="004A52D1" w:rsidRDefault="004A52D1" w:rsidP="004A52D1">
            <w:pPr>
              <w:spacing w:after="0" w:line="240" w:lineRule="auto"/>
              <w:rPr>
                <w:szCs w:val="24"/>
              </w:rPr>
            </w:pPr>
            <w:r w:rsidRPr="004A52D1">
              <w:rPr>
                <w:szCs w:val="24"/>
              </w:rPr>
              <w:t>In interpreting these provisions, there is a significant risk that the Service will construe the wage limit narrowly.  While there are few cases on former Section 199, and none as to wages, the Courts made it clear with former Section 199 that the provisions for a deduction may be construed narrowly.</w:t>
            </w:r>
            <w:r w:rsidRPr="004A52D1">
              <w:rPr>
                <w:szCs w:val="24"/>
                <w:vertAlign w:val="superscript"/>
              </w:rPr>
              <w:footnoteReference w:id="11"/>
            </w:r>
          </w:p>
          <w:p w:rsidR="004A52D1" w:rsidRPr="004A52D1" w:rsidRDefault="004A52D1" w:rsidP="004A52D1">
            <w:pPr>
              <w:spacing w:after="0" w:line="240" w:lineRule="auto"/>
              <w:rPr>
                <w:szCs w:val="24"/>
              </w:rPr>
            </w:pPr>
          </w:p>
          <w:p w:rsidR="004A52D1" w:rsidRPr="004A52D1" w:rsidRDefault="004A52D1" w:rsidP="004A52D1">
            <w:pPr>
              <w:spacing w:after="0" w:line="240" w:lineRule="auto"/>
              <w:rPr>
                <w:szCs w:val="24"/>
              </w:rPr>
            </w:pPr>
            <w:r w:rsidRPr="004A52D1">
              <w:rPr>
                <w:szCs w:val="24"/>
                <w:u w:val="single"/>
              </w:rPr>
              <w:t>Basis Limit</w:t>
            </w:r>
            <w:r w:rsidRPr="004A52D1">
              <w:rPr>
                <w:szCs w:val="24"/>
              </w:rPr>
              <w:t xml:space="preserve">.  </w:t>
            </w:r>
          </w:p>
          <w:p w:rsidR="004A52D1" w:rsidRPr="004A52D1" w:rsidRDefault="004A52D1" w:rsidP="004A52D1">
            <w:pPr>
              <w:spacing w:after="0" w:line="240" w:lineRule="auto"/>
              <w:rPr>
                <w:szCs w:val="24"/>
              </w:rPr>
            </w:pPr>
          </w:p>
          <w:p w:rsidR="004A52D1" w:rsidRPr="004A52D1" w:rsidRDefault="004A52D1" w:rsidP="004A52D1">
            <w:pPr>
              <w:spacing w:after="0" w:line="240" w:lineRule="auto"/>
              <w:rPr>
                <w:szCs w:val="24"/>
              </w:rPr>
            </w:pPr>
            <w:r w:rsidRPr="004A52D1">
              <w:rPr>
                <w:szCs w:val="24"/>
              </w:rPr>
              <w:t>Where the basis limit applies – under the combined wage/base limit, the amount of wages, while important, is not exclusive to qualification.  An additional amount of a deduction will be allowable to the extent of 2.5% of unadjusted basis of depreciable property.</w:t>
            </w:r>
          </w:p>
          <w:p w:rsidR="004A52D1" w:rsidRPr="004A52D1" w:rsidRDefault="004A52D1" w:rsidP="004A52D1">
            <w:pPr>
              <w:spacing w:after="0" w:line="240" w:lineRule="auto"/>
              <w:rPr>
                <w:szCs w:val="24"/>
              </w:rPr>
            </w:pPr>
          </w:p>
          <w:p w:rsidR="004A52D1" w:rsidRPr="004A52D1" w:rsidRDefault="004A52D1" w:rsidP="004A52D1">
            <w:pPr>
              <w:spacing w:after="0" w:line="240" w:lineRule="auto"/>
              <w:rPr>
                <w:szCs w:val="24"/>
              </w:rPr>
            </w:pPr>
            <w:r w:rsidRPr="004A52D1">
              <w:rPr>
                <w:szCs w:val="24"/>
              </w:rPr>
              <w:t xml:space="preserve">This combined wage-basis limit may be beneficial for qualifying rental owners.  </w:t>
            </w:r>
          </w:p>
          <w:p w:rsidR="004A52D1" w:rsidRPr="004A52D1" w:rsidRDefault="004A52D1" w:rsidP="004A52D1">
            <w:pPr>
              <w:spacing w:after="0" w:line="240" w:lineRule="auto"/>
              <w:rPr>
                <w:szCs w:val="24"/>
              </w:rPr>
            </w:pPr>
          </w:p>
          <w:p w:rsidR="004A52D1" w:rsidRPr="004A52D1" w:rsidRDefault="004A52D1" w:rsidP="004A52D1">
            <w:pPr>
              <w:spacing w:after="0" w:line="240" w:lineRule="auto"/>
              <w:rPr>
                <w:szCs w:val="24"/>
              </w:rPr>
            </w:pPr>
            <w:r w:rsidRPr="004A52D1">
              <w:rPr>
                <w:szCs w:val="24"/>
              </w:rPr>
              <w:t>For this measure, all property used in the trade or business is counted at 2.5% of its tax basis before depreciation.  However, the “countable use” period is limited.  Basis is counted from the date placed in-service to the later of 10-years or useful life.  The technical term as to useful life is “the last day of the full year in the applicable recovery period, which means that under the ½-year or mid-month convention, the final year is generally not counted.  For example:</w:t>
            </w:r>
          </w:p>
          <w:p w:rsidR="004A52D1" w:rsidRPr="004A52D1" w:rsidRDefault="004A52D1" w:rsidP="004A52D1">
            <w:pPr>
              <w:spacing w:after="0" w:line="240" w:lineRule="auto"/>
              <w:rPr>
                <w:szCs w:val="24"/>
              </w:rPr>
            </w:pPr>
          </w:p>
          <w:p w:rsidR="004A52D1" w:rsidRPr="004A52D1" w:rsidRDefault="004A52D1" w:rsidP="004A52D1">
            <w:pPr>
              <w:spacing w:after="0" w:line="240" w:lineRule="auto"/>
              <w:rPr>
                <w:szCs w:val="24"/>
              </w:rPr>
            </w:pPr>
            <w:r w:rsidRPr="004A52D1">
              <w:rPr>
                <w:szCs w:val="24"/>
              </w:rPr>
              <w:lastRenderedPageBreak/>
              <w:t>•</w:t>
            </w:r>
            <w:r w:rsidRPr="004A52D1">
              <w:rPr>
                <w:szCs w:val="24"/>
              </w:rPr>
              <w:tab/>
              <w:t>A building placed in service 1/1/2018 (or as early as 1/1/2009) would qualify for 27-years or 39-years from the start date;</w:t>
            </w:r>
          </w:p>
          <w:p w:rsidR="004A52D1" w:rsidRPr="004A52D1" w:rsidRDefault="004A52D1" w:rsidP="004A52D1">
            <w:pPr>
              <w:spacing w:after="0" w:line="240" w:lineRule="auto"/>
              <w:rPr>
                <w:szCs w:val="24"/>
              </w:rPr>
            </w:pPr>
          </w:p>
          <w:p w:rsidR="004A52D1" w:rsidRPr="004A52D1" w:rsidRDefault="004A52D1" w:rsidP="004A52D1">
            <w:pPr>
              <w:spacing w:after="0" w:line="240" w:lineRule="auto"/>
              <w:rPr>
                <w:szCs w:val="24"/>
              </w:rPr>
            </w:pPr>
            <w:r w:rsidRPr="004A52D1">
              <w:rPr>
                <w:szCs w:val="24"/>
              </w:rPr>
              <w:t>•</w:t>
            </w:r>
            <w:r w:rsidRPr="004A52D1">
              <w:rPr>
                <w:szCs w:val="24"/>
              </w:rPr>
              <w:tab/>
              <w:t>Carpet placed in service 1/1/2018 (or earlier) would count for 10-years from the date placed in service.</w:t>
            </w:r>
          </w:p>
          <w:p w:rsidR="004A52D1" w:rsidRPr="004A52D1" w:rsidRDefault="004A52D1" w:rsidP="004A52D1">
            <w:pPr>
              <w:spacing w:after="0" w:line="240" w:lineRule="auto"/>
              <w:rPr>
                <w:szCs w:val="24"/>
              </w:rPr>
            </w:pPr>
          </w:p>
          <w:p w:rsidR="004A52D1" w:rsidRPr="004A52D1" w:rsidRDefault="004A52D1" w:rsidP="004A52D1">
            <w:pPr>
              <w:spacing w:after="0" w:line="240" w:lineRule="auto"/>
              <w:rPr>
                <w:szCs w:val="24"/>
              </w:rPr>
            </w:pPr>
            <w:r w:rsidRPr="004A52D1">
              <w:rPr>
                <w:szCs w:val="24"/>
                <w:u w:val="single"/>
              </w:rPr>
              <w:t>Example</w:t>
            </w:r>
            <w:r w:rsidRPr="004A52D1">
              <w:rPr>
                <w:szCs w:val="24"/>
              </w:rPr>
              <w:t xml:space="preserve">.  Joe Benson bought an apartment building for $1.5 million on January 1, 2013.  His basis in the building is $1 million.  There are no other assets.  There are no wages – he self-manages.  Assume the small taxpayer exemption does not apply.  </w:t>
            </w:r>
          </w:p>
          <w:p w:rsidR="004A52D1" w:rsidRPr="004A52D1" w:rsidRDefault="004A52D1" w:rsidP="004A52D1">
            <w:pPr>
              <w:spacing w:after="0" w:line="240" w:lineRule="auto"/>
              <w:rPr>
                <w:szCs w:val="24"/>
              </w:rPr>
            </w:pPr>
          </w:p>
          <w:p w:rsidR="004A52D1" w:rsidRPr="004A52D1" w:rsidRDefault="004A52D1" w:rsidP="004A52D1">
            <w:pPr>
              <w:spacing w:after="0" w:line="240" w:lineRule="auto"/>
              <w:rPr>
                <w:szCs w:val="24"/>
              </w:rPr>
            </w:pPr>
            <w:r w:rsidRPr="004A52D1">
              <w:rPr>
                <w:szCs w:val="24"/>
              </w:rPr>
              <w:t>Assuming that the taxpayer’s activities qualify as an active trade or business, under the wage-basis limit, and zero wages, the amount deductible will be limited to $25,000.  (2.5% x $1 million.)  Whether Joe owns the apartment building directly, in an S Corporation or an LLC will not be relevant – if the 20% is allowed, it will be allowed under all options.</w:t>
            </w:r>
          </w:p>
          <w:p w:rsidR="004A52D1" w:rsidRPr="004A52D1" w:rsidRDefault="004A52D1" w:rsidP="004A52D1">
            <w:pPr>
              <w:spacing w:after="0" w:line="240" w:lineRule="auto"/>
              <w:rPr>
                <w:szCs w:val="24"/>
              </w:rPr>
            </w:pPr>
          </w:p>
          <w:p w:rsidR="004A52D1" w:rsidRPr="004A52D1" w:rsidRDefault="004A52D1" w:rsidP="004A52D1">
            <w:pPr>
              <w:spacing w:after="0" w:line="240" w:lineRule="auto"/>
              <w:rPr>
                <w:szCs w:val="24"/>
              </w:rPr>
            </w:pPr>
          </w:p>
          <w:tbl>
            <w:tblPr>
              <w:tblStyle w:val="TableGrid"/>
              <w:tblW w:w="0" w:type="auto"/>
              <w:tblInd w:w="738" w:type="dxa"/>
              <w:tblLook w:val="04A0" w:firstRow="1" w:lastRow="0" w:firstColumn="1" w:lastColumn="0" w:noHBand="0" w:noVBand="1"/>
            </w:tblPr>
            <w:tblGrid>
              <w:gridCol w:w="8100"/>
            </w:tblGrid>
            <w:tr w:rsidR="004A52D1" w:rsidRPr="004A52D1" w:rsidTr="009D7239">
              <w:tc>
                <w:tcPr>
                  <w:tcW w:w="8100" w:type="dxa"/>
                </w:tcPr>
                <w:p w:rsidR="004A52D1" w:rsidRPr="004A52D1" w:rsidRDefault="004A52D1" w:rsidP="004A52D1">
                  <w:pPr>
                    <w:spacing w:after="0" w:line="240" w:lineRule="auto"/>
                    <w:rPr>
                      <w:szCs w:val="24"/>
                    </w:rPr>
                  </w:pPr>
                  <w:r w:rsidRPr="004A52D1">
                    <w:rPr>
                      <w:b/>
                      <w:szCs w:val="24"/>
                    </w:rPr>
                    <w:t>Note</w:t>
                  </w:r>
                  <w:r w:rsidRPr="004A52D1">
                    <w:rPr>
                      <w:szCs w:val="24"/>
                    </w:rPr>
                    <w:t>.  Regarding the basis limit, the statute does not expressly address the effect of claiming on the property either the Section 179 election to expense an asset or an election to take first year additional (bonus) depreciation.  The statute only refers to property that would qualify for depreciation under Section 168.</w:t>
                  </w:r>
                </w:p>
                <w:p w:rsidR="004A52D1" w:rsidRPr="004A52D1" w:rsidRDefault="004A52D1" w:rsidP="004A52D1">
                  <w:pPr>
                    <w:spacing w:after="0" w:line="240" w:lineRule="auto"/>
                    <w:rPr>
                      <w:szCs w:val="24"/>
                    </w:rPr>
                  </w:pPr>
                </w:p>
                <w:p w:rsidR="004A52D1" w:rsidRPr="004A52D1" w:rsidRDefault="004A52D1" w:rsidP="004A52D1">
                  <w:pPr>
                    <w:spacing w:after="0" w:line="240" w:lineRule="auto"/>
                    <w:rPr>
                      <w:szCs w:val="24"/>
                    </w:rPr>
                  </w:pPr>
                  <w:r w:rsidRPr="004A52D1">
                    <w:rPr>
                      <w:szCs w:val="24"/>
                    </w:rPr>
                    <w:t>There is no commentary as to what was intended.  One reading is that the basis of the depreciable property purchased should always qualify for the 2.5% basis limit regardless of any election to expense or election to depreciate the property in full the first year.  The Service may concur that is the correct reading as to exactly what Congress had intended.  However, until guidance is issued, taxpayers should be warned to not presume this outcome.</w:t>
                  </w:r>
                </w:p>
              </w:tc>
            </w:tr>
          </w:tbl>
          <w:p w:rsidR="004A52D1" w:rsidRPr="004A52D1" w:rsidRDefault="004A52D1" w:rsidP="004A52D1">
            <w:pPr>
              <w:spacing w:after="0" w:line="240" w:lineRule="auto"/>
              <w:rPr>
                <w:szCs w:val="24"/>
              </w:rPr>
            </w:pPr>
          </w:p>
          <w:p w:rsidR="004A52D1" w:rsidRPr="004A52D1" w:rsidRDefault="004A52D1" w:rsidP="004A52D1">
            <w:pPr>
              <w:spacing w:after="0" w:line="240" w:lineRule="auto"/>
              <w:rPr>
                <w:i/>
                <w:szCs w:val="24"/>
              </w:rPr>
            </w:pPr>
          </w:p>
          <w:p w:rsidR="004A52D1" w:rsidRPr="004A52D1" w:rsidRDefault="004A52D1" w:rsidP="004A52D1">
            <w:pPr>
              <w:spacing w:after="0" w:line="240" w:lineRule="auto"/>
              <w:rPr>
                <w:szCs w:val="24"/>
              </w:rPr>
            </w:pPr>
            <w:r w:rsidRPr="004A52D1">
              <w:rPr>
                <w:szCs w:val="24"/>
                <w:u w:val="single"/>
              </w:rPr>
              <w:t>Section 469</w:t>
            </w:r>
            <w:r w:rsidRPr="004A52D1">
              <w:rPr>
                <w:szCs w:val="24"/>
              </w:rPr>
              <w:t>.</w:t>
            </w:r>
          </w:p>
          <w:p w:rsidR="004A52D1" w:rsidRPr="004A52D1" w:rsidRDefault="004A52D1" w:rsidP="004A52D1">
            <w:pPr>
              <w:spacing w:after="0" w:line="240" w:lineRule="auto"/>
              <w:rPr>
                <w:szCs w:val="24"/>
              </w:rPr>
            </w:pPr>
          </w:p>
          <w:p w:rsidR="004A52D1" w:rsidRPr="004A52D1" w:rsidRDefault="004A52D1" w:rsidP="004A52D1">
            <w:pPr>
              <w:spacing w:after="0" w:line="240" w:lineRule="auto"/>
              <w:rPr>
                <w:szCs w:val="24"/>
              </w:rPr>
            </w:pPr>
            <w:r w:rsidRPr="004A52D1">
              <w:rPr>
                <w:szCs w:val="24"/>
              </w:rPr>
              <w:t xml:space="preserve">The Act provides that the 20% deduction is applied </w:t>
            </w:r>
            <w:r w:rsidRPr="004A52D1">
              <w:rPr>
                <w:szCs w:val="24"/>
                <w:u w:val="single"/>
              </w:rPr>
              <w:t>after</w:t>
            </w:r>
            <w:r w:rsidRPr="004A52D1">
              <w:rPr>
                <w:szCs w:val="24"/>
              </w:rPr>
              <w:t xml:space="preserve"> application of Section 469.  </w:t>
            </w:r>
          </w:p>
          <w:p w:rsidR="004A52D1" w:rsidRPr="004A52D1" w:rsidRDefault="004A52D1" w:rsidP="004A52D1">
            <w:pPr>
              <w:spacing w:after="0" w:line="240" w:lineRule="auto"/>
              <w:rPr>
                <w:szCs w:val="24"/>
              </w:rPr>
            </w:pPr>
          </w:p>
          <w:p w:rsidR="004A52D1" w:rsidRPr="004A52D1" w:rsidRDefault="004A52D1" w:rsidP="004A52D1">
            <w:pPr>
              <w:spacing w:after="0" w:line="240" w:lineRule="auto"/>
              <w:rPr>
                <w:szCs w:val="24"/>
              </w:rPr>
            </w:pPr>
            <w:r w:rsidRPr="004A52D1">
              <w:rPr>
                <w:szCs w:val="24"/>
              </w:rPr>
              <w:t xml:space="preserve">Given that the suspension of losses would in fact increase other trade or business income, for years in which there are suspended losses, the benefit of the 20% deduction should be greater.  Conversely, for years in which prior-year suspended losses are released or are available for offset, a determination will need to be made whether these losses arise from a trade or business – and will reduce both taxable income and C-QBIA. </w:t>
            </w:r>
          </w:p>
          <w:p w:rsidR="004A52D1" w:rsidRPr="004A52D1" w:rsidRDefault="004A52D1" w:rsidP="004A52D1">
            <w:pPr>
              <w:spacing w:after="0" w:line="240" w:lineRule="auto"/>
              <w:rPr>
                <w:szCs w:val="24"/>
              </w:rPr>
            </w:pPr>
          </w:p>
          <w:p w:rsidR="004A52D1" w:rsidRPr="004A52D1" w:rsidRDefault="004A52D1" w:rsidP="004A52D1">
            <w:pPr>
              <w:spacing w:after="0" w:line="240" w:lineRule="auto"/>
              <w:rPr>
                <w:szCs w:val="24"/>
              </w:rPr>
            </w:pPr>
            <w:r w:rsidRPr="004A52D1">
              <w:rPr>
                <w:szCs w:val="24"/>
                <w:u w:val="single"/>
              </w:rPr>
              <w:t>Taxable Income Limit</w:t>
            </w:r>
            <w:r w:rsidRPr="004A52D1">
              <w:rPr>
                <w:szCs w:val="24"/>
              </w:rPr>
              <w:t xml:space="preserve">.  </w:t>
            </w:r>
          </w:p>
          <w:p w:rsidR="004A52D1" w:rsidRPr="004A52D1" w:rsidRDefault="004A52D1" w:rsidP="004A52D1">
            <w:pPr>
              <w:spacing w:after="0" w:line="240" w:lineRule="auto"/>
              <w:rPr>
                <w:szCs w:val="24"/>
              </w:rPr>
            </w:pPr>
          </w:p>
          <w:p w:rsidR="004A52D1" w:rsidRPr="004A52D1" w:rsidRDefault="004A52D1" w:rsidP="004A52D1">
            <w:pPr>
              <w:spacing w:after="0" w:line="240" w:lineRule="auto"/>
              <w:rPr>
                <w:szCs w:val="24"/>
              </w:rPr>
            </w:pPr>
            <w:r w:rsidRPr="004A52D1">
              <w:rPr>
                <w:szCs w:val="24"/>
              </w:rPr>
              <w:t>The enactment of Section 199 was not intended to create a deficit in taxable income – or a net operating loss.  In fact, the deductible amount will be limited taxable income based on the following:</w:t>
            </w:r>
          </w:p>
          <w:p w:rsidR="004A52D1" w:rsidRPr="004A52D1" w:rsidRDefault="004A52D1" w:rsidP="004A52D1">
            <w:pPr>
              <w:spacing w:after="0" w:line="240" w:lineRule="auto"/>
              <w:rPr>
                <w:szCs w:val="24"/>
              </w:rPr>
            </w:pPr>
          </w:p>
          <w:p w:rsidR="004A52D1" w:rsidRPr="004A52D1" w:rsidRDefault="004A52D1" w:rsidP="004A52D1">
            <w:pPr>
              <w:numPr>
                <w:ilvl w:val="0"/>
                <w:numId w:val="13"/>
              </w:numPr>
              <w:spacing w:after="0" w:line="240" w:lineRule="auto"/>
              <w:rPr>
                <w:bCs/>
                <w:szCs w:val="24"/>
              </w:rPr>
            </w:pPr>
            <w:r w:rsidRPr="004A52D1">
              <w:rPr>
                <w:bCs/>
                <w:szCs w:val="24"/>
                <w:u w:val="single"/>
              </w:rPr>
              <w:t>Adjusted Taxable Income</w:t>
            </w:r>
            <w:r w:rsidRPr="004A52D1">
              <w:rPr>
                <w:bCs/>
                <w:szCs w:val="24"/>
              </w:rPr>
              <w:t>:  The C-QBIA will first be limited to Twenty percent (20%) of adjusted taxable income.  Generally adjusted taxable income is the taxpayer’s taxable income reduced by reported net capital gain.  Certain adjustments are made for special items like agricultural cooperative dividends.</w:t>
            </w:r>
          </w:p>
          <w:p w:rsidR="004A52D1" w:rsidRPr="004A52D1" w:rsidRDefault="004A52D1" w:rsidP="004A52D1">
            <w:pPr>
              <w:numPr>
                <w:ilvl w:val="0"/>
                <w:numId w:val="13"/>
              </w:numPr>
              <w:spacing w:after="0" w:line="240" w:lineRule="auto"/>
              <w:rPr>
                <w:bCs/>
                <w:szCs w:val="24"/>
              </w:rPr>
            </w:pPr>
            <w:r w:rsidRPr="004A52D1">
              <w:rPr>
                <w:bCs/>
                <w:szCs w:val="24"/>
                <w:u w:val="single"/>
              </w:rPr>
              <w:t>Taxable Income</w:t>
            </w:r>
            <w:r w:rsidRPr="004A52D1">
              <w:rPr>
                <w:bCs/>
                <w:szCs w:val="24"/>
              </w:rPr>
              <w:t>.  Next, the amount allowable will be limited to not exceed one hundred percent (100%) of the taxpayers’ reported taxable income.</w:t>
            </w:r>
          </w:p>
          <w:p w:rsidR="004A52D1" w:rsidRPr="004A52D1" w:rsidRDefault="004A52D1" w:rsidP="004A52D1">
            <w:pPr>
              <w:spacing w:after="0" w:line="240" w:lineRule="auto"/>
              <w:rPr>
                <w:bCs/>
                <w:szCs w:val="24"/>
              </w:rPr>
            </w:pPr>
            <w:r w:rsidRPr="004A52D1">
              <w:rPr>
                <w:bCs/>
                <w:szCs w:val="24"/>
              </w:rPr>
              <w:t>The effect is that the deduction will not be allowed to result in a net operating loss, nor exceed 20% of taxpayer’s taxable income, before net capital gains.  For example, if there are prior-year net operating losses, the allowable net operating losses will first reduce both taxable income and the 20% adjusted taxable income amount; any excess C-QBIA will not qualify for a carryforward and will be disallowed.</w:t>
            </w:r>
          </w:p>
          <w:p w:rsidR="004A52D1" w:rsidRPr="004A52D1" w:rsidRDefault="004A52D1" w:rsidP="004A52D1">
            <w:pPr>
              <w:spacing w:after="0" w:line="240" w:lineRule="auto"/>
              <w:rPr>
                <w:szCs w:val="24"/>
              </w:rPr>
            </w:pPr>
          </w:p>
          <w:p w:rsidR="004A52D1" w:rsidRPr="004A52D1" w:rsidRDefault="004A52D1" w:rsidP="004A52D1">
            <w:pPr>
              <w:spacing w:after="0" w:line="240" w:lineRule="auto"/>
              <w:rPr>
                <w:szCs w:val="24"/>
              </w:rPr>
            </w:pPr>
            <w:r w:rsidRPr="004A52D1">
              <w:rPr>
                <w:szCs w:val="24"/>
              </w:rPr>
              <w:t xml:space="preserve">In addition, to the extent allowable, the deduction, while an “above the line” deduction, is not considered a deduction in determining adjusted gross income – essentially it is in addition to the standard deduction or itemized deduction.  This means that any phase-out due to excess adjusted gross income will occur regardless of the impact of the 20% deduction on taxable income.  The 20% deduction is not listed as a preference item for alternative minimum tax purposes.  </w:t>
            </w:r>
          </w:p>
          <w:p w:rsidR="004A52D1" w:rsidRPr="004A52D1" w:rsidRDefault="004A52D1" w:rsidP="004A52D1">
            <w:pPr>
              <w:spacing w:after="0" w:line="240" w:lineRule="auto"/>
              <w:rPr>
                <w:szCs w:val="24"/>
              </w:rPr>
            </w:pPr>
          </w:p>
          <w:p w:rsidR="004A52D1" w:rsidRPr="004A52D1" w:rsidRDefault="004A52D1" w:rsidP="004A52D1">
            <w:pPr>
              <w:spacing w:after="0" w:line="240" w:lineRule="auto"/>
              <w:rPr>
                <w:szCs w:val="24"/>
              </w:rPr>
            </w:pPr>
            <w:r w:rsidRPr="004A52D1">
              <w:rPr>
                <w:szCs w:val="24"/>
                <w:u w:val="single"/>
              </w:rPr>
              <w:t>Home Builders</w:t>
            </w:r>
            <w:r w:rsidRPr="004A52D1">
              <w:rPr>
                <w:szCs w:val="24"/>
              </w:rPr>
              <w:t xml:space="preserve">.  </w:t>
            </w:r>
          </w:p>
          <w:p w:rsidR="004A52D1" w:rsidRPr="004A52D1" w:rsidRDefault="004A52D1" w:rsidP="004A52D1">
            <w:pPr>
              <w:spacing w:after="0" w:line="240" w:lineRule="auto"/>
              <w:rPr>
                <w:szCs w:val="24"/>
              </w:rPr>
            </w:pPr>
          </w:p>
          <w:p w:rsidR="004A52D1" w:rsidRPr="004A52D1" w:rsidRDefault="004A52D1" w:rsidP="004A52D1">
            <w:pPr>
              <w:spacing w:after="0" w:line="240" w:lineRule="auto"/>
              <w:rPr>
                <w:szCs w:val="24"/>
              </w:rPr>
            </w:pPr>
            <w:r w:rsidRPr="004A52D1">
              <w:rPr>
                <w:szCs w:val="24"/>
              </w:rPr>
              <w:t xml:space="preserve">While there are a number of different real estate industries, the 20% deduction will be of particular concern for home builders who were previously using the Section 199 domestic production deduction.  There are a lot of uncertainties and it is possible that home builders may be treated inconsistently under these new rules.  </w:t>
            </w:r>
          </w:p>
          <w:p w:rsidR="004A52D1" w:rsidRPr="004A52D1" w:rsidRDefault="004A52D1" w:rsidP="004A52D1">
            <w:pPr>
              <w:spacing w:after="0" w:line="240" w:lineRule="auto"/>
              <w:rPr>
                <w:szCs w:val="24"/>
              </w:rPr>
            </w:pPr>
          </w:p>
          <w:p w:rsidR="004A52D1" w:rsidRPr="004A52D1" w:rsidRDefault="004A52D1" w:rsidP="004A52D1">
            <w:pPr>
              <w:spacing w:after="0" w:line="240" w:lineRule="auto"/>
              <w:rPr>
                <w:szCs w:val="24"/>
              </w:rPr>
            </w:pPr>
            <w:r w:rsidRPr="004A52D1">
              <w:rPr>
                <w:szCs w:val="24"/>
              </w:rPr>
              <w:t xml:space="preserve">First, as with prior law, given the division of labor, land holding entities have zero amounts paid directly as wages and have zero amounts of depreciable property.  Much of the construction work will be done through subcontractors (who may qualify for the 20% deduction.)  This outcome would probably not change even if the contract was arranged as a cost-plus, so long as the employees are those of the subcontractor, not the home builder.  Accordingly, without wages or depreciable property, it is possible that the amount of the deduction will be zero.  </w:t>
            </w:r>
          </w:p>
          <w:p w:rsidR="004A52D1" w:rsidRPr="004A52D1" w:rsidRDefault="004A52D1" w:rsidP="004A52D1">
            <w:pPr>
              <w:spacing w:after="0" w:line="240" w:lineRule="auto"/>
              <w:rPr>
                <w:szCs w:val="24"/>
              </w:rPr>
            </w:pPr>
          </w:p>
          <w:p w:rsidR="004A52D1" w:rsidRPr="004A52D1" w:rsidRDefault="004A52D1" w:rsidP="004A52D1">
            <w:pPr>
              <w:spacing w:after="0" w:line="240" w:lineRule="auto"/>
              <w:rPr>
                <w:szCs w:val="24"/>
              </w:rPr>
            </w:pPr>
            <w:r w:rsidRPr="004A52D1">
              <w:rPr>
                <w:szCs w:val="24"/>
              </w:rPr>
              <w:t xml:space="preserve">Second, while a home builder could change the business model to create wages; the problem may remain that the wages paid through an affiliate corporation, not the land holding entity from whom wages are generated, may not be considered to be wages of the taxpayer.  Accordingly, whether the 20% deduction will be allowed will depend on arbitrary differences in how wages are paid and by whom.  </w:t>
            </w:r>
          </w:p>
          <w:p w:rsidR="004A52D1" w:rsidRPr="004A52D1" w:rsidRDefault="004A52D1" w:rsidP="004A52D1">
            <w:pPr>
              <w:spacing w:after="0" w:line="240" w:lineRule="auto"/>
              <w:rPr>
                <w:szCs w:val="24"/>
              </w:rPr>
            </w:pPr>
          </w:p>
          <w:p w:rsidR="004A52D1" w:rsidRPr="004A52D1" w:rsidRDefault="004A52D1" w:rsidP="004A52D1">
            <w:pPr>
              <w:spacing w:after="0" w:line="240" w:lineRule="auto"/>
              <w:rPr>
                <w:szCs w:val="24"/>
              </w:rPr>
            </w:pPr>
            <w:r w:rsidRPr="004A52D1">
              <w:rPr>
                <w:szCs w:val="24"/>
              </w:rPr>
              <w:t xml:space="preserve">Third, few builders will meet the small taxpayer exception, if they undertake more than a few homes.  Taxable income usually substantially exceeds the limits.  </w:t>
            </w:r>
          </w:p>
          <w:p w:rsidR="004A52D1" w:rsidRPr="004A52D1" w:rsidRDefault="004A52D1" w:rsidP="004A52D1">
            <w:pPr>
              <w:spacing w:after="0" w:line="240" w:lineRule="auto"/>
              <w:rPr>
                <w:szCs w:val="24"/>
              </w:rPr>
            </w:pPr>
          </w:p>
          <w:p w:rsidR="004A52D1" w:rsidRPr="004A52D1" w:rsidRDefault="004A52D1" w:rsidP="004A52D1">
            <w:pPr>
              <w:spacing w:after="0" w:line="240" w:lineRule="auto"/>
              <w:rPr>
                <w:szCs w:val="24"/>
              </w:rPr>
            </w:pPr>
            <w:r w:rsidRPr="004A52D1">
              <w:rPr>
                <w:szCs w:val="24"/>
              </w:rPr>
              <w:t xml:space="preserve">Lastly, those who operate through C corporations will not qualify.  On the other hand, the 21% corporate tax rate will certainly reduce their tax burden.  </w:t>
            </w:r>
          </w:p>
          <w:p w:rsidR="004A52D1" w:rsidRPr="004A52D1" w:rsidRDefault="004A52D1" w:rsidP="004A52D1">
            <w:pPr>
              <w:spacing w:after="0" w:line="240" w:lineRule="auto"/>
              <w:rPr>
                <w:szCs w:val="24"/>
              </w:rPr>
            </w:pPr>
          </w:p>
          <w:p w:rsidR="004A52D1" w:rsidRPr="004A52D1" w:rsidRDefault="004A52D1" w:rsidP="004A52D1">
            <w:pPr>
              <w:spacing w:after="0" w:line="240" w:lineRule="auto"/>
              <w:rPr>
                <w:szCs w:val="24"/>
              </w:rPr>
            </w:pPr>
            <w:r w:rsidRPr="004A52D1">
              <w:rPr>
                <w:szCs w:val="24"/>
              </w:rPr>
              <w:t xml:space="preserve">Accordingly, for home builders there are only limited opportunities.  First, smaller builders may be willing to </w:t>
            </w:r>
            <w:r w:rsidRPr="004A52D1">
              <w:rPr>
                <w:szCs w:val="24"/>
              </w:rPr>
              <w:lastRenderedPageBreak/>
              <w:t>operate through a corporation and take profits by way of a reasonable salary, to avail the 21% tax rate.  However, this does nothing to encourage the use of the 20% deduction allowed to pass-through entities.  Second, if there are employee supervisors – such as the project manager, there may be a position for a small deduction – provided wages can be allocated to the pass-through entity.</w:t>
            </w:r>
            <w:r w:rsidRPr="004A52D1">
              <w:rPr>
                <w:szCs w:val="24"/>
                <w:vertAlign w:val="superscript"/>
              </w:rPr>
              <w:footnoteReference w:id="12"/>
            </w:r>
          </w:p>
          <w:p w:rsidR="004A52D1" w:rsidRPr="004A52D1" w:rsidRDefault="004A52D1" w:rsidP="004A52D1">
            <w:pPr>
              <w:spacing w:after="0" w:line="240" w:lineRule="auto"/>
              <w:rPr>
                <w:szCs w:val="24"/>
              </w:rPr>
            </w:pPr>
          </w:p>
          <w:p w:rsidR="004A52D1" w:rsidRPr="004A52D1" w:rsidRDefault="004A52D1" w:rsidP="004A52D1">
            <w:pPr>
              <w:spacing w:after="0" w:line="240" w:lineRule="auto"/>
              <w:rPr>
                <w:szCs w:val="24"/>
              </w:rPr>
            </w:pPr>
            <w:r w:rsidRPr="004A52D1">
              <w:rPr>
                <w:szCs w:val="24"/>
              </w:rPr>
              <w:t>*****</w:t>
            </w:r>
          </w:p>
          <w:p w:rsidR="004A52D1" w:rsidRPr="004A52D1" w:rsidRDefault="004A52D1" w:rsidP="004A52D1">
            <w:pPr>
              <w:spacing w:after="0" w:line="240" w:lineRule="auto"/>
              <w:rPr>
                <w:szCs w:val="24"/>
              </w:rPr>
            </w:pPr>
          </w:p>
          <w:p w:rsidR="004A52D1" w:rsidRPr="004A52D1" w:rsidRDefault="004A52D1" w:rsidP="004A52D1">
            <w:pPr>
              <w:spacing w:after="0" w:line="240" w:lineRule="auto"/>
              <w:rPr>
                <w:szCs w:val="24"/>
              </w:rPr>
            </w:pPr>
            <w:r w:rsidRPr="004A52D1">
              <w:rPr>
                <w:szCs w:val="24"/>
              </w:rPr>
              <w:t xml:space="preserve">Obviously, this is an area for which further guidance is needed.  Our office is actively advising many in the real estate industry regarding Section 199A, finding that qualification requires careful analysis. </w:t>
            </w:r>
          </w:p>
          <w:p w:rsidR="004A52D1" w:rsidRPr="004A52D1" w:rsidRDefault="004A52D1" w:rsidP="004A52D1">
            <w:pPr>
              <w:spacing w:after="0" w:line="240" w:lineRule="auto"/>
              <w:rPr>
                <w:szCs w:val="24"/>
              </w:rPr>
            </w:pPr>
          </w:p>
          <w:p w:rsidR="004A52D1" w:rsidRPr="004A52D1" w:rsidRDefault="004A52D1" w:rsidP="004A52D1">
            <w:pPr>
              <w:spacing w:after="0" w:line="240" w:lineRule="auto"/>
              <w:rPr>
                <w:i/>
                <w:szCs w:val="24"/>
              </w:rPr>
            </w:pPr>
            <w:r w:rsidRPr="004A52D1">
              <w:rPr>
                <w:i/>
                <w:szCs w:val="24"/>
              </w:rPr>
              <w:t xml:space="preserve">Cameron Hess is a partner with the law firm of Wagner </w:t>
            </w:r>
            <w:proofErr w:type="spellStart"/>
            <w:r w:rsidRPr="004A52D1">
              <w:rPr>
                <w:i/>
                <w:szCs w:val="24"/>
              </w:rPr>
              <w:t>Kirkman</w:t>
            </w:r>
            <w:proofErr w:type="spellEnd"/>
            <w:r w:rsidRPr="004A52D1">
              <w:rPr>
                <w:i/>
                <w:szCs w:val="24"/>
              </w:rPr>
              <w:t xml:space="preserve"> Blaine </w:t>
            </w:r>
            <w:proofErr w:type="spellStart"/>
            <w:r w:rsidRPr="004A52D1">
              <w:rPr>
                <w:i/>
                <w:szCs w:val="24"/>
              </w:rPr>
              <w:t>Klomparens</w:t>
            </w:r>
            <w:proofErr w:type="spellEnd"/>
            <w:r w:rsidRPr="004A52D1">
              <w:rPr>
                <w:i/>
                <w:szCs w:val="24"/>
              </w:rPr>
              <w:t xml:space="preserve"> &amp; Youmans LLP (WKBK&amp;Y).   WKBK&amp;Y’s practice focuses on real estate, tax, business, estate planning and litigation.  Mr. Hess may be reached at (916) 920-5286 or at chess@wkblaw.com. </w:t>
            </w:r>
          </w:p>
          <w:p w:rsidR="005826FF" w:rsidRPr="00B96005" w:rsidRDefault="005826FF" w:rsidP="00B96005">
            <w:pPr>
              <w:spacing w:after="0" w:line="240" w:lineRule="auto"/>
              <w:rPr>
                <w:szCs w:val="24"/>
              </w:rPr>
            </w:pPr>
          </w:p>
          <w:p w:rsidR="008534BD" w:rsidRPr="00B96005" w:rsidRDefault="008534BD" w:rsidP="00B96005">
            <w:pPr>
              <w:spacing w:after="0" w:line="240" w:lineRule="auto"/>
              <w:rPr>
                <w:szCs w:val="24"/>
              </w:rPr>
            </w:pPr>
          </w:p>
          <w:p w:rsidR="00A63A8F" w:rsidRPr="00FC3802" w:rsidRDefault="00A63A8F" w:rsidP="00FC3802">
            <w:pPr>
              <w:spacing w:after="0" w:line="240" w:lineRule="auto"/>
              <w:rPr>
                <w:szCs w:val="24"/>
              </w:rPr>
            </w:pPr>
          </w:p>
          <w:p w:rsidR="00A63A8F" w:rsidRDefault="00A63A8F" w:rsidP="00C17295">
            <w:pPr>
              <w:spacing w:after="100" w:afterAutospacing="1" w:line="240" w:lineRule="auto"/>
              <w:jc w:val="center"/>
            </w:pPr>
          </w:p>
        </w:tc>
      </w:tr>
    </w:tbl>
    <w:p w:rsidR="00066BE2" w:rsidRDefault="00066BE2" w:rsidP="00066BE2">
      <w:pPr>
        <w:spacing w:after="100" w:afterAutospacing="1" w:line="240" w:lineRule="auto"/>
      </w:pPr>
    </w:p>
    <w:sectPr w:rsidR="00066BE2" w:rsidSect="0041214F">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35AF" w:rsidRDefault="00FE35AF" w:rsidP="006F44A2">
      <w:pPr>
        <w:spacing w:after="0" w:line="240" w:lineRule="auto"/>
      </w:pPr>
      <w:r>
        <w:separator/>
      </w:r>
    </w:p>
  </w:endnote>
  <w:endnote w:type="continuationSeparator" w:id="0">
    <w:p w:rsidR="00FE35AF" w:rsidRDefault="00FE35AF" w:rsidP="006F4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9EE" w:rsidRDefault="007759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00" w:firstRow="0" w:lastRow="0" w:firstColumn="0" w:lastColumn="0" w:noHBand="0" w:noVBand="1"/>
    </w:tblPr>
    <w:tblGrid>
      <w:gridCol w:w="11016"/>
    </w:tblGrid>
    <w:tr w:rsidR="007759EE" w:rsidTr="00AD44C3">
      <w:trPr>
        <w:cantSplit/>
      </w:trPr>
      <w:tc>
        <w:tcPr>
          <w:tcW w:w="11016" w:type="dxa"/>
          <w:shd w:val="clear" w:color="auto" w:fill="005130"/>
        </w:tcPr>
        <w:p w:rsidR="007759EE" w:rsidRPr="002533CA" w:rsidRDefault="007759EE" w:rsidP="00A63A8F">
          <w:pPr>
            <w:pStyle w:val="Footer"/>
            <w:tabs>
              <w:tab w:val="clear" w:pos="4680"/>
              <w:tab w:val="clear" w:pos="9360"/>
              <w:tab w:val="right" w:pos="10800"/>
            </w:tabs>
            <w:rPr>
              <w:color w:val="FFFFFF"/>
            </w:rPr>
          </w:pPr>
          <w:proofErr w:type="gramStart"/>
          <w:r w:rsidRPr="002533CA">
            <w:rPr>
              <w:color w:val="FFFFFF"/>
            </w:rPr>
            <w:t xml:space="preserve">http://www.wkblaw.com </w:t>
          </w:r>
          <w:r>
            <w:rPr>
              <w:color w:val="FFFFFF"/>
            </w:rPr>
            <w:t xml:space="preserve"> </w:t>
          </w:r>
          <w:r w:rsidRPr="002533CA">
            <w:rPr>
              <w:color w:val="FFFFFF"/>
            </w:rPr>
            <w:t>|</w:t>
          </w:r>
          <w:proofErr w:type="gramEnd"/>
          <w:r w:rsidRPr="002533CA">
            <w:rPr>
              <w:color w:val="FFFFFF"/>
            </w:rPr>
            <w:t xml:space="preserve">  (916) 920-5286</w:t>
          </w:r>
          <w:r w:rsidRPr="00A63A8F">
            <w:rPr>
              <w:color w:val="FFFFFF"/>
            </w:rPr>
            <w:tab/>
            <w:t xml:space="preserve">Page | </w:t>
          </w:r>
          <w:r w:rsidRPr="00A63A8F">
            <w:rPr>
              <w:color w:val="FFFFFF"/>
            </w:rPr>
            <w:fldChar w:fldCharType="begin"/>
          </w:r>
          <w:r w:rsidRPr="00A63A8F">
            <w:rPr>
              <w:color w:val="FFFFFF"/>
            </w:rPr>
            <w:instrText xml:space="preserve"> PAGE   \* MERGEFORMAT </w:instrText>
          </w:r>
          <w:r w:rsidRPr="00A63A8F">
            <w:rPr>
              <w:color w:val="FFFFFF"/>
            </w:rPr>
            <w:fldChar w:fldCharType="separate"/>
          </w:r>
          <w:r w:rsidR="004A52D1">
            <w:rPr>
              <w:noProof/>
              <w:color w:val="FFFFFF"/>
            </w:rPr>
            <w:t>1</w:t>
          </w:r>
          <w:r w:rsidRPr="00A63A8F">
            <w:rPr>
              <w:color w:val="FFFFFF"/>
            </w:rPr>
            <w:fldChar w:fldCharType="end"/>
          </w:r>
        </w:p>
        <w:p w:rsidR="007759EE" w:rsidRPr="00034A73" w:rsidRDefault="007759EE">
          <w:pPr>
            <w:pStyle w:val="Footer"/>
            <w:rPr>
              <w:color w:val="BFBFBF"/>
              <w:sz w:val="20"/>
              <w:szCs w:val="20"/>
            </w:rPr>
          </w:pPr>
          <w:r>
            <w:rPr>
              <w:color w:val="FFFFFF"/>
            </w:rPr>
            <w:t xml:space="preserve">The Northern California Tax Firm.     </w:t>
          </w:r>
          <w:r w:rsidRPr="00034A73">
            <w:rPr>
              <w:color w:val="BFBFBF"/>
              <w:sz w:val="20"/>
              <w:szCs w:val="20"/>
            </w:rPr>
            <w:t>Tax Services | Estate Planning | Real Estate | Business Transactions | Civil Litigation</w:t>
          </w:r>
        </w:p>
      </w:tc>
    </w:tr>
    <w:tr w:rsidR="007759EE" w:rsidTr="00AD44C3">
      <w:trPr>
        <w:cantSplit/>
        <w:trHeight w:hRule="exact" w:val="115"/>
      </w:trPr>
      <w:tc>
        <w:tcPr>
          <w:tcW w:w="11016" w:type="dxa"/>
          <w:shd w:val="clear" w:color="auto" w:fill="008000"/>
        </w:tcPr>
        <w:p w:rsidR="007759EE" w:rsidRDefault="007759EE">
          <w:pPr>
            <w:pStyle w:val="Footer"/>
          </w:pPr>
        </w:p>
      </w:tc>
    </w:tr>
  </w:tbl>
  <w:p w:rsidR="007759EE" w:rsidRPr="006F44A2" w:rsidRDefault="007759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9EE" w:rsidRDefault="007759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35AF" w:rsidRDefault="00FE35AF" w:rsidP="006F44A2">
      <w:pPr>
        <w:spacing w:after="0" w:line="240" w:lineRule="auto"/>
      </w:pPr>
      <w:r>
        <w:separator/>
      </w:r>
    </w:p>
  </w:footnote>
  <w:footnote w:type="continuationSeparator" w:id="0">
    <w:p w:rsidR="00FE35AF" w:rsidRDefault="00FE35AF" w:rsidP="006F44A2">
      <w:pPr>
        <w:spacing w:after="0" w:line="240" w:lineRule="auto"/>
      </w:pPr>
      <w:r>
        <w:continuationSeparator/>
      </w:r>
    </w:p>
  </w:footnote>
  <w:footnote w:id="1">
    <w:p w:rsidR="004A52D1" w:rsidRPr="006B2209" w:rsidRDefault="004A52D1" w:rsidP="004A52D1">
      <w:pPr>
        <w:pStyle w:val="FootnoteText"/>
        <w:rPr>
          <w:sz w:val="24"/>
          <w:szCs w:val="24"/>
        </w:rPr>
      </w:pPr>
      <w:r>
        <w:rPr>
          <w:rStyle w:val="FootnoteReference"/>
        </w:rPr>
        <w:footnoteRef/>
      </w:r>
      <w:r>
        <w:t xml:space="preserve"> </w:t>
      </w:r>
      <w:r>
        <w:rPr>
          <w:sz w:val="24"/>
          <w:szCs w:val="24"/>
        </w:rPr>
        <w:t xml:space="preserve">Section 199(a) of the Internal Revenue Code as effective through December 31, 2017.  Under former Section 199(d)(2), for individuals, the term taxable income was substituted for adjusted gross income, determined </w:t>
      </w:r>
      <w:r w:rsidRPr="006B2209">
        <w:rPr>
          <w:sz w:val="24"/>
          <w:szCs w:val="24"/>
          <w:u w:val="single"/>
        </w:rPr>
        <w:t>after</w:t>
      </w:r>
      <w:r>
        <w:rPr>
          <w:sz w:val="24"/>
          <w:szCs w:val="24"/>
        </w:rPr>
        <w:t xml:space="preserve"> application of sections 86, 135, 137, 219, 221, 222 and 469.</w:t>
      </w:r>
    </w:p>
  </w:footnote>
  <w:footnote w:id="2">
    <w:p w:rsidR="004A52D1" w:rsidRPr="006B2209" w:rsidRDefault="004A52D1" w:rsidP="004A52D1">
      <w:pPr>
        <w:pStyle w:val="FootnoteText"/>
        <w:rPr>
          <w:sz w:val="24"/>
          <w:szCs w:val="24"/>
        </w:rPr>
      </w:pPr>
      <w:r>
        <w:rPr>
          <w:rStyle w:val="FootnoteReference"/>
        </w:rPr>
        <w:footnoteRef/>
      </w:r>
      <w:r>
        <w:t xml:space="preserve"> </w:t>
      </w:r>
      <w:r>
        <w:rPr>
          <w:sz w:val="24"/>
          <w:szCs w:val="24"/>
        </w:rPr>
        <w:t>Section 199(b).</w:t>
      </w:r>
    </w:p>
  </w:footnote>
  <w:footnote w:id="3">
    <w:p w:rsidR="004A52D1" w:rsidRDefault="004A52D1" w:rsidP="004A52D1">
      <w:pPr>
        <w:pStyle w:val="FootnoteText"/>
      </w:pPr>
      <w:r>
        <w:rPr>
          <w:rStyle w:val="FootnoteReference"/>
        </w:rPr>
        <w:footnoteRef/>
      </w:r>
      <w:r>
        <w:t xml:space="preserve"> </w:t>
      </w:r>
      <w:r>
        <w:rPr>
          <w:sz w:val="24"/>
        </w:rPr>
        <w:t>Section 199(d</w:t>
      </w:r>
      <w:r w:rsidRPr="006B2209">
        <w:rPr>
          <w:sz w:val="24"/>
        </w:rPr>
        <w:t>)</w:t>
      </w:r>
      <w:r>
        <w:rPr>
          <w:sz w:val="24"/>
        </w:rPr>
        <w:t>.</w:t>
      </w:r>
    </w:p>
  </w:footnote>
  <w:footnote w:id="4">
    <w:p w:rsidR="004A52D1" w:rsidRPr="006B2209" w:rsidRDefault="004A52D1" w:rsidP="004A52D1">
      <w:pPr>
        <w:pStyle w:val="FootnoteText"/>
        <w:rPr>
          <w:sz w:val="24"/>
          <w:szCs w:val="24"/>
        </w:rPr>
      </w:pPr>
      <w:r>
        <w:rPr>
          <w:rStyle w:val="FootnoteReference"/>
        </w:rPr>
        <w:footnoteRef/>
      </w:r>
      <w:r>
        <w:t xml:space="preserve"> </w:t>
      </w:r>
      <w:r>
        <w:rPr>
          <w:sz w:val="24"/>
          <w:szCs w:val="24"/>
        </w:rPr>
        <w:t xml:space="preserve">Section 199(c)(4).  </w:t>
      </w:r>
    </w:p>
  </w:footnote>
  <w:footnote w:id="5">
    <w:p w:rsidR="004A52D1" w:rsidRPr="00817209" w:rsidRDefault="004A52D1" w:rsidP="004A52D1">
      <w:pPr>
        <w:pStyle w:val="FootnoteText"/>
        <w:rPr>
          <w:sz w:val="24"/>
          <w:szCs w:val="24"/>
        </w:rPr>
      </w:pPr>
      <w:r>
        <w:rPr>
          <w:rStyle w:val="FootnoteReference"/>
        </w:rPr>
        <w:footnoteRef/>
      </w:r>
      <w:r w:rsidRPr="00817209">
        <w:rPr>
          <w:sz w:val="24"/>
          <w:szCs w:val="24"/>
        </w:rPr>
        <w:t xml:space="preserve"> Under the Tax and Jobs Act, </w:t>
      </w:r>
      <w:r>
        <w:rPr>
          <w:sz w:val="24"/>
          <w:szCs w:val="24"/>
        </w:rPr>
        <w:t>all corporations are instead granted a 21% flat corporate tax rate, wherein the former tiered rates up to 35% have been eliminated.</w:t>
      </w:r>
    </w:p>
  </w:footnote>
  <w:footnote w:id="6">
    <w:p w:rsidR="004A52D1" w:rsidRDefault="004A52D1" w:rsidP="004A52D1">
      <w:pPr>
        <w:pStyle w:val="FootnoteText"/>
      </w:pPr>
      <w:r>
        <w:rPr>
          <w:rStyle w:val="FootnoteReference"/>
        </w:rPr>
        <w:footnoteRef/>
      </w:r>
      <w:r w:rsidRPr="00743E54">
        <w:rPr>
          <w:sz w:val="24"/>
        </w:rPr>
        <w:t xml:space="preserve"> As revised, excluded services include accounting, actuarial science, fi</w:t>
      </w:r>
      <w:r>
        <w:rPr>
          <w:sz w:val="24"/>
        </w:rPr>
        <w:t>nancial services and consulting.  Excluded services also include</w:t>
      </w:r>
      <w:r w:rsidRPr="00743E54">
        <w:rPr>
          <w:sz w:val="24"/>
        </w:rPr>
        <w:t xml:space="preserve"> performing artists and athletics and any trade or business that relies on the “reputation or skill</w:t>
      </w:r>
      <w:r>
        <w:rPr>
          <w:sz w:val="24"/>
        </w:rPr>
        <w:t>”</w:t>
      </w:r>
      <w:r w:rsidRPr="00743E54">
        <w:rPr>
          <w:sz w:val="24"/>
        </w:rPr>
        <w:t xml:space="preserve"> of one or more </w:t>
      </w:r>
      <w:r>
        <w:rPr>
          <w:sz w:val="24"/>
        </w:rPr>
        <w:t>employees.  In reading, Section 199A allows other types of businesses not permitted under Section 1202; While Section 199A borrowed from Section 1202, these two sections have no overlap wherein Section 1202 is only qualified business stock in a C Corporation. Section 1203(c).</w:t>
      </w:r>
    </w:p>
  </w:footnote>
  <w:footnote w:id="7">
    <w:p w:rsidR="004A52D1" w:rsidRPr="00FA1658" w:rsidRDefault="004A52D1" w:rsidP="004A52D1">
      <w:pPr>
        <w:pStyle w:val="FootnoteText"/>
        <w:rPr>
          <w:sz w:val="24"/>
          <w:szCs w:val="24"/>
        </w:rPr>
      </w:pPr>
      <w:r w:rsidRPr="00FA1658">
        <w:rPr>
          <w:rStyle w:val="FootnoteReference"/>
          <w:sz w:val="24"/>
          <w:szCs w:val="24"/>
        </w:rPr>
        <w:footnoteRef/>
      </w:r>
      <w:r>
        <w:rPr>
          <w:sz w:val="24"/>
          <w:szCs w:val="24"/>
        </w:rPr>
        <w:t xml:space="preserve"> For example, u</w:t>
      </w:r>
      <w:r w:rsidRPr="00FA1658">
        <w:rPr>
          <w:sz w:val="24"/>
          <w:szCs w:val="24"/>
        </w:rPr>
        <w:t>nder IRC Section 875</w:t>
      </w:r>
      <w:r>
        <w:rPr>
          <w:sz w:val="24"/>
          <w:szCs w:val="24"/>
        </w:rPr>
        <w:t>, the activities of a partnership, estate or</w:t>
      </w:r>
      <w:r w:rsidRPr="00FA1658">
        <w:rPr>
          <w:sz w:val="24"/>
          <w:szCs w:val="24"/>
        </w:rPr>
        <w:t xml:space="preserve"> trust engaged in any trade or bu</w:t>
      </w:r>
      <w:r>
        <w:rPr>
          <w:sz w:val="24"/>
          <w:szCs w:val="24"/>
        </w:rPr>
        <w:t>siness within the United States</w:t>
      </w:r>
      <w:r w:rsidRPr="00FA1658">
        <w:rPr>
          <w:sz w:val="24"/>
          <w:szCs w:val="24"/>
        </w:rPr>
        <w:t xml:space="preserve"> </w:t>
      </w:r>
      <w:r>
        <w:rPr>
          <w:sz w:val="24"/>
          <w:szCs w:val="24"/>
        </w:rPr>
        <w:t>will be</w:t>
      </w:r>
      <w:r w:rsidRPr="00FA1658">
        <w:rPr>
          <w:sz w:val="24"/>
          <w:szCs w:val="24"/>
        </w:rPr>
        <w:t xml:space="preserve"> </w:t>
      </w:r>
      <w:r>
        <w:rPr>
          <w:sz w:val="24"/>
          <w:szCs w:val="24"/>
        </w:rPr>
        <w:t xml:space="preserve">attributed to its partners and, </w:t>
      </w:r>
      <w:r w:rsidRPr="00FA1658">
        <w:rPr>
          <w:sz w:val="24"/>
          <w:szCs w:val="24"/>
        </w:rPr>
        <w:t xml:space="preserve">in the case of an estate or trust, </w:t>
      </w:r>
      <w:r>
        <w:rPr>
          <w:sz w:val="24"/>
          <w:szCs w:val="24"/>
        </w:rPr>
        <w:t xml:space="preserve">to </w:t>
      </w:r>
      <w:r w:rsidRPr="00FA1658">
        <w:rPr>
          <w:sz w:val="24"/>
          <w:szCs w:val="24"/>
        </w:rPr>
        <w:t>its beneficiaries.</w:t>
      </w:r>
    </w:p>
  </w:footnote>
  <w:footnote w:id="8">
    <w:p w:rsidR="004A52D1" w:rsidRPr="0067652C" w:rsidRDefault="004A52D1" w:rsidP="004A52D1">
      <w:pPr>
        <w:pStyle w:val="FootnoteText"/>
        <w:rPr>
          <w:sz w:val="24"/>
          <w:szCs w:val="24"/>
        </w:rPr>
      </w:pPr>
      <w:r w:rsidRPr="0067652C">
        <w:rPr>
          <w:rStyle w:val="FootnoteReference"/>
          <w:sz w:val="24"/>
          <w:szCs w:val="24"/>
        </w:rPr>
        <w:footnoteRef/>
      </w:r>
      <w:r w:rsidRPr="0067652C">
        <w:rPr>
          <w:sz w:val="24"/>
          <w:szCs w:val="24"/>
        </w:rPr>
        <w:t xml:space="preserve"> </w:t>
      </w:r>
      <w:r>
        <w:rPr>
          <w:sz w:val="24"/>
          <w:szCs w:val="24"/>
        </w:rPr>
        <w:t xml:space="preserve">While not covered in much detail by the statute, the statute identifies that the 20 percent deduction will be allowed as to the income from </w:t>
      </w:r>
      <w:r w:rsidRPr="0067652C">
        <w:rPr>
          <w:sz w:val="24"/>
          <w:szCs w:val="24"/>
        </w:rPr>
        <w:t>pu</w:t>
      </w:r>
      <w:r>
        <w:rPr>
          <w:sz w:val="24"/>
          <w:szCs w:val="24"/>
        </w:rPr>
        <w:t>blicly traded partnerships.  While not clearly stated, presumably this is in reference to only those allowed to be treated as pass-through entities, meeting the 90% qualified dividends requirement.</w:t>
      </w:r>
    </w:p>
  </w:footnote>
  <w:footnote w:id="9">
    <w:p w:rsidR="004A52D1" w:rsidRDefault="004A52D1" w:rsidP="004A52D1">
      <w:pPr>
        <w:pStyle w:val="FootnoteText"/>
      </w:pPr>
      <w:r>
        <w:rPr>
          <w:rStyle w:val="FootnoteReference"/>
        </w:rPr>
        <w:footnoteRef/>
      </w:r>
      <w:r>
        <w:t xml:space="preserve"> </w:t>
      </w:r>
      <w:r>
        <w:rPr>
          <w:sz w:val="24"/>
          <w:szCs w:val="24"/>
        </w:rPr>
        <w:t>Pass-through entities also include a</w:t>
      </w:r>
      <w:r w:rsidRPr="00743E54">
        <w:rPr>
          <w:sz w:val="24"/>
          <w:szCs w:val="24"/>
        </w:rPr>
        <w:t xml:space="preserve"> REIT </w:t>
      </w:r>
      <w:r>
        <w:rPr>
          <w:sz w:val="24"/>
          <w:szCs w:val="24"/>
        </w:rPr>
        <w:t>and qualified cooperative for</w:t>
      </w:r>
      <w:r w:rsidRPr="00743E54">
        <w:rPr>
          <w:sz w:val="24"/>
          <w:szCs w:val="24"/>
        </w:rPr>
        <w:t xml:space="preserve"> </w:t>
      </w:r>
      <w:r>
        <w:rPr>
          <w:sz w:val="24"/>
          <w:szCs w:val="24"/>
        </w:rPr>
        <w:t xml:space="preserve">that portion of </w:t>
      </w:r>
      <w:r w:rsidRPr="00743E54">
        <w:rPr>
          <w:sz w:val="24"/>
          <w:szCs w:val="24"/>
        </w:rPr>
        <w:t>dividends</w:t>
      </w:r>
      <w:r>
        <w:rPr>
          <w:sz w:val="24"/>
          <w:szCs w:val="24"/>
        </w:rPr>
        <w:t xml:space="preserve"> consisting of qualified business income.  For a REIT, any dividend distribution that represents a capital gain or an ordinary dividend (not business income) will not qualify.  The new Section 199A continues to retain provisions allowing a deduction for agricultural and horticultural cooperatives.</w:t>
      </w:r>
    </w:p>
  </w:footnote>
  <w:footnote w:id="10">
    <w:p w:rsidR="004A52D1" w:rsidRDefault="004A52D1" w:rsidP="004A52D1">
      <w:r>
        <w:rPr>
          <w:rStyle w:val="FootnoteReference"/>
        </w:rPr>
        <w:footnoteRef/>
      </w:r>
      <w:r>
        <w:t xml:space="preserve"> The taxpayer in </w:t>
      </w:r>
      <w:r w:rsidRPr="003B4C72">
        <w:rPr>
          <w:u w:val="single"/>
        </w:rPr>
        <w:t>Herbert</w:t>
      </w:r>
      <w:r>
        <w:t xml:space="preserve"> did not prevail where the taxpayer owned a single building, holding a single tenant.  This could be extended to a rental of a simple ground lease.  On the other hand, cases where taxpayer prevailed involved ownership of several rental properties.  The argument may be made whether based on the number of properties being subject to preparation, marketing and ease, that the entirety of the activities should be treated as a trade or business.  As to further guidance, presently the IRS’s Chief’s Counsel Office has not assigned staff to review this issue, and is seeking commentary and questions.</w:t>
      </w:r>
    </w:p>
    <w:p w:rsidR="004A52D1" w:rsidRDefault="004A52D1" w:rsidP="004A52D1">
      <w:pPr>
        <w:pStyle w:val="FootnoteText"/>
      </w:pPr>
    </w:p>
  </w:footnote>
  <w:footnote w:id="11">
    <w:p w:rsidR="004A52D1" w:rsidRPr="00341A03" w:rsidRDefault="004A52D1" w:rsidP="004A52D1">
      <w:pPr>
        <w:pStyle w:val="FootnoteText"/>
        <w:rPr>
          <w:sz w:val="24"/>
          <w:szCs w:val="24"/>
        </w:rPr>
      </w:pPr>
      <w:r w:rsidRPr="00341A03">
        <w:rPr>
          <w:rStyle w:val="FootnoteReference"/>
          <w:sz w:val="24"/>
          <w:szCs w:val="24"/>
        </w:rPr>
        <w:footnoteRef/>
      </w:r>
      <w:r w:rsidRPr="00341A03">
        <w:rPr>
          <w:sz w:val="24"/>
          <w:szCs w:val="24"/>
        </w:rPr>
        <w:t xml:space="preserve"> See </w:t>
      </w:r>
      <w:proofErr w:type="spellStart"/>
      <w:r w:rsidRPr="00341A03">
        <w:rPr>
          <w:sz w:val="24"/>
          <w:szCs w:val="24"/>
          <w:u w:val="single"/>
        </w:rPr>
        <w:t>Advo</w:t>
      </w:r>
      <w:proofErr w:type="spellEnd"/>
      <w:r w:rsidRPr="00341A03">
        <w:rPr>
          <w:sz w:val="24"/>
          <w:szCs w:val="24"/>
          <w:u w:val="single"/>
        </w:rPr>
        <w:t xml:space="preserve">, Inc. v. </w:t>
      </w:r>
      <w:proofErr w:type="spellStart"/>
      <w:r w:rsidRPr="00341A03">
        <w:rPr>
          <w:sz w:val="24"/>
          <w:szCs w:val="24"/>
          <w:u w:val="single"/>
        </w:rPr>
        <w:t>Com’r</w:t>
      </w:r>
      <w:proofErr w:type="spellEnd"/>
      <w:r w:rsidRPr="00341A03">
        <w:rPr>
          <w:sz w:val="24"/>
          <w:szCs w:val="24"/>
        </w:rPr>
        <w:t>, 141 T.C. No. 9 (2013), where the Tax Court disallowed a Section 199 deduction for work entirely subcontracted out, but required Section 263A capitalization</w:t>
      </w:r>
      <w:r>
        <w:rPr>
          <w:sz w:val="24"/>
          <w:szCs w:val="24"/>
        </w:rPr>
        <w:t>, finding based on an evaluation of factors that taxpayer did not take on the benefits and burdens of manufacturing</w:t>
      </w:r>
      <w:r w:rsidRPr="00341A03">
        <w:rPr>
          <w:sz w:val="24"/>
          <w:szCs w:val="24"/>
        </w:rPr>
        <w:t xml:space="preserve">.  </w:t>
      </w:r>
      <w:r>
        <w:rPr>
          <w:sz w:val="24"/>
          <w:szCs w:val="24"/>
        </w:rPr>
        <w:t xml:space="preserve">Not at issue were wages, but simply the taxpayer’s claim that it was the producer; to which the court disagreed.  </w:t>
      </w:r>
      <w:r w:rsidRPr="00341A03">
        <w:rPr>
          <w:sz w:val="24"/>
          <w:szCs w:val="24"/>
        </w:rPr>
        <w:t xml:space="preserve">Interestingly, two years later, in the 2015-year, the Service issued </w:t>
      </w:r>
      <w:r>
        <w:rPr>
          <w:sz w:val="24"/>
          <w:szCs w:val="24"/>
        </w:rPr>
        <w:t xml:space="preserve">Treas. Reg. 1.199-3, wherein under subparagraph (f)(2), it listed by example the exact same circumstances, but made a favorable conclusion. </w:t>
      </w:r>
    </w:p>
  </w:footnote>
  <w:footnote w:id="12">
    <w:p w:rsidR="004A52D1" w:rsidRPr="009C4D58" w:rsidRDefault="004A52D1" w:rsidP="004A52D1">
      <w:pPr>
        <w:pStyle w:val="FootnoteText"/>
        <w:rPr>
          <w:sz w:val="24"/>
          <w:szCs w:val="24"/>
        </w:rPr>
      </w:pPr>
      <w:r w:rsidRPr="009C4D58">
        <w:rPr>
          <w:rStyle w:val="FootnoteReference"/>
          <w:sz w:val="24"/>
          <w:szCs w:val="24"/>
        </w:rPr>
        <w:footnoteRef/>
      </w:r>
      <w:r w:rsidRPr="009C4D58">
        <w:rPr>
          <w:sz w:val="24"/>
          <w:szCs w:val="24"/>
        </w:rPr>
        <w:t xml:space="preserve"> </w:t>
      </w:r>
      <w:r>
        <w:rPr>
          <w:sz w:val="24"/>
          <w:szCs w:val="24"/>
        </w:rPr>
        <w:t xml:space="preserve">While </w:t>
      </w:r>
      <w:r w:rsidRPr="009C4D58">
        <w:rPr>
          <w:sz w:val="24"/>
          <w:szCs w:val="24"/>
        </w:rPr>
        <w:t xml:space="preserve">Section 199A </w:t>
      </w:r>
      <w:r>
        <w:rPr>
          <w:sz w:val="24"/>
          <w:szCs w:val="24"/>
        </w:rPr>
        <w:t>should not be limited by</w:t>
      </w:r>
      <w:r w:rsidRPr="009C4D58">
        <w:rPr>
          <w:sz w:val="24"/>
          <w:szCs w:val="24"/>
        </w:rPr>
        <w:t xml:space="preserve"> Section 263A capitalization</w:t>
      </w:r>
      <w:r>
        <w:rPr>
          <w:sz w:val="24"/>
          <w:szCs w:val="24"/>
        </w:rPr>
        <w:t xml:space="preserve">, limited </w:t>
      </w:r>
      <w:r w:rsidRPr="009C4D58">
        <w:rPr>
          <w:sz w:val="24"/>
          <w:szCs w:val="24"/>
        </w:rPr>
        <w:t xml:space="preserve">wages </w:t>
      </w:r>
      <w:r>
        <w:rPr>
          <w:sz w:val="24"/>
          <w:szCs w:val="24"/>
        </w:rPr>
        <w:t>present a significant possible limit to home builders</w:t>
      </w:r>
      <w:r w:rsidRPr="009C4D58">
        <w:rPr>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9EE" w:rsidRDefault="007759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9EE" w:rsidRDefault="004A52D1">
    <w:pPr>
      <w:pStyle w:val="Header"/>
    </w:pPr>
    <w:r>
      <w:rPr>
        <w:noProof/>
      </w:rPr>
      <w:drawing>
        <wp:inline distT="0" distB="0" distL="0" distR="0">
          <wp:extent cx="2598420" cy="387985"/>
          <wp:effectExtent l="0" t="0" r="0" b="0"/>
          <wp:docPr id="1" name="Picture 1" descr="WKB-Logo-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KB-Logo-New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8420" cy="38798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9EE" w:rsidRDefault="007759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AADD0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7B0DB2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4A2DF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81C89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28467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A06E3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FA2650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7AA684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4CAA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0047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057E50"/>
    <w:multiLevelType w:val="multilevel"/>
    <w:tmpl w:val="FF3E871E"/>
    <w:lvl w:ilvl="0">
      <w:start w:val="1"/>
      <w:numFmt w:val="decimal"/>
      <w:pStyle w:val="Heading1"/>
      <w:lvlText w:val="%1."/>
      <w:lvlJc w:val="left"/>
      <w:pPr>
        <w:tabs>
          <w:tab w:val="num" w:pos="1440"/>
        </w:tabs>
        <w:ind w:left="0" w:firstLine="720"/>
      </w:pPr>
      <w:rPr>
        <w:rFonts w:hint="default"/>
        <w:caps w:val="0"/>
        <w:color w:val="auto"/>
        <w:u w:val="none"/>
      </w:rPr>
    </w:lvl>
    <w:lvl w:ilvl="1">
      <w:start w:val="1"/>
      <w:numFmt w:val="upperLetter"/>
      <w:pStyle w:val="Heading2"/>
      <w:lvlText w:val="%2."/>
      <w:lvlJc w:val="left"/>
      <w:pPr>
        <w:tabs>
          <w:tab w:val="num" w:pos="2160"/>
        </w:tabs>
        <w:ind w:left="0" w:firstLine="1440"/>
      </w:pPr>
      <w:rPr>
        <w:rFonts w:hint="default"/>
        <w:caps w:val="0"/>
        <w:color w:val="auto"/>
        <w:u w:val="none"/>
      </w:rPr>
    </w:lvl>
    <w:lvl w:ilvl="2">
      <w:start w:val="1"/>
      <w:numFmt w:val="lowerRoman"/>
      <w:pStyle w:val="Heading3"/>
      <w:lvlText w:val="%3."/>
      <w:lvlJc w:val="left"/>
      <w:pPr>
        <w:tabs>
          <w:tab w:val="num" w:pos="2880"/>
        </w:tabs>
        <w:ind w:left="0" w:firstLine="2160"/>
      </w:pPr>
      <w:rPr>
        <w:rFonts w:hint="default"/>
        <w:caps w:val="0"/>
        <w:color w:val="auto"/>
        <w:u w:val="none"/>
      </w:rPr>
    </w:lvl>
    <w:lvl w:ilvl="3">
      <w:start w:val="1"/>
      <w:numFmt w:val="decimal"/>
      <w:pStyle w:val="Heading4"/>
      <w:lvlText w:val="(%4)"/>
      <w:lvlJc w:val="left"/>
      <w:pPr>
        <w:tabs>
          <w:tab w:val="num" w:pos="3600"/>
        </w:tabs>
        <w:ind w:left="0" w:firstLine="2880"/>
      </w:pPr>
      <w:rPr>
        <w:rFonts w:hint="default"/>
        <w:caps w:val="0"/>
        <w:color w:val="auto"/>
        <w:u w:val="none"/>
      </w:rPr>
    </w:lvl>
    <w:lvl w:ilvl="4">
      <w:start w:val="1"/>
      <w:numFmt w:val="upperLetter"/>
      <w:pStyle w:val="Heading5"/>
      <w:lvlText w:val="(%5)"/>
      <w:lvlJc w:val="left"/>
      <w:pPr>
        <w:tabs>
          <w:tab w:val="num" w:pos="4320"/>
        </w:tabs>
        <w:ind w:left="0" w:firstLine="3600"/>
      </w:pPr>
      <w:rPr>
        <w:rFonts w:hint="default"/>
        <w:caps w:val="0"/>
        <w:color w:val="auto"/>
        <w:u w:val="none"/>
      </w:rPr>
    </w:lvl>
    <w:lvl w:ilvl="5">
      <w:start w:val="1"/>
      <w:numFmt w:val="lowerRoman"/>
      <w:pStyle w:val="Heading6"/>
      <w:lvlText w:val="(%6)"/>
      <w:lvlJc w:val="left"/>
      <w:pPr>
        <w:tabs>
          <w:tab w:val="num" w:pos="5040"/>
        </w:tabs>
        <w:ind w:left="0" w:firstLine="4320"/>
      </w:pPr>
      <w:rPr>
        <w:rFonts w:hint="default"/>
        <w:caps w:val="0"/>
        <w:color w:val="auto"/>
        <w:u w:val="none"/>
      </w:rPr>
    </w:lvl>
    <w:lvl w:ilvl="6">
      <w:start w:val="1"/>
      <w:numFmt w:val="decimal"/>
      <w:pStyle w:val="Heading7"/>
      <w:lvlText w:val="%7."/>
      <w:lvlJc w:val="left"/>
      <w:pPr>
        <w:tabs>
          <w:tab w:val="num" w:pos="5760"/>
        </w:tabs>
        <w:ind w:left="0" w:firstLine="5040"/>
      </w:pPr>
      <w:rPr>
        <w:rFonts w:hint="default"/>
        <w:caps w:val="0"/>
        <w:color w:val="auto"/>
        <w:u w:val="none"/>
      </w:rPr>
    </w:lvl>
    <w:lvl w:ilvl="7">
      <w:start w:val="1"/>
      <w:numFmt w:val="lowerLetter"/>
      <w:pStyle w:val="Heading8"/>
      <w:lvlText w:val="%8."/>
      <w:lvlJc w:val="left"/>
      <w:pPr>
        <w:tabs>
          <w:tab w:val="num" w:pos="6480"/>
        </w:tabs>
        <w:ind w:left="0" w:firstLine="5760"/>
      </w:pPr>
      <w:rPr>
        <w:rFonts w:hint="default"/>
        <w:caps w:val="0"/>
        <w:color w:val="auto"/>
        <w:u w:val="none"/>
      </w:rPr>
    </w:lvl>
    <w:lvl w:ilvl="8">
      <w:start w:val="1"/>
      <w:numFmt w:val="lowerRoman"/>
      <w:pStyle w:val="Heading9"/>
      <w:lvlText w:val="%9."/>
      <w:lvlJc w:val="left"/>
      <w:pPr>
        <w:tabs>
          <w:tab w:val="num" w:pos="7200"/>
        </w:tabs>
        <w:ind w:left="0" w:firstLine="6480"/>
      </w:pPr>
      <w:rPr>
        <w:rFonts w:hint="default"/>
        <w:caps w:val="0"/>
        <w:color w:val="auto"/>
        <w:u w:val="no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44A2"/>
    <w:rsid w:val="00034A73"/>
    <w:rsid w:val="00066BE2"/>
    <w:rsid w:val="000D5274"/>
    <w:rsid w:val="00104F17"/>
    <w:rsid w:val="001241E2"/>
    <w:rsid w:val="0015541E"/>
    <w:rsid w:val="00173BE3"/>
    <w:rsid w:val="001A51B1"/>
    <w:rsid w:val="00200E1E"/>
    <w:rsid w:val="00240BEA"/>
    <w:rsid w:val="002533CA"/>
    <w:rsid w:val="002D70BF"/>
    <w:rsid w:val="00330DCC"/>
    <w:rsid w:val="003927BC"/>
    <w:rsid w:val="00393810"/>
    <w:rsid w:val="003D2996"/>
    <w:rsid w:val="0041214F"/>
    <w:rsid w:val="00437D36"/>
    <w:rsid w:val="0045474D"/>
    <w:rsid w:val="004A52D1"/>
    <w:rsid w:val="0050277A"/>
    <w:rsid w:val="00515F38"/>
    <w:rsid w:val="0053798C"/>
    <w:rsid w:val="00546890"/>
    <w:rsid w:val="005826FF"/>
    <w:rsid w:val="005A17F2"/>
    <w:rsid w:val="005B741E"/>
    <w:rsid w:val="005D4359"/>
    <w:rsid w:val="00636AE4"/>
    <w:rsid w:val="006F44A2"/>
    <w:rsid w:val="00700A10"/>
    <w:rsid w:val="00737C96"/>
    <w:rsid w:val="00744D7C"/>
    <w:rsid w:val="007759EE"/>
    <w:rsid w:val="0078043F"/>
    <w:rsid w:val="0079276C"/>
    <w:rsid w:val="007975F1"/>
    <w:rsid w:val="0081191F"/>
    <w:rsid w:val="008534BD"/>
    <w:rsid w:val="00901205"/>
    <w:rsid w:val="00903940"/>
    <w:rsid w:val="0096647F"/>
    <w:rsid w:val="009707F9"/>
    <w:rsid w:val="009D2DC3"/>
    <w:rsid w:val="00A03D91"/>
    <w:rsid w:val="00A63A8F"/>
    <w:rsid w:val="00A8695C"/>
    <w:rsid w:val="00AA73B2"/>
    <w:rsid w:val="00AB1606"/>
    <w:rsid w:val="00AD44C3"/>
    <w:rsid w:val="00AF6599"/>
    <w:rsid w:val="00B36D97"/>
    <w:rsid w:val="00B714A9"/>
    <w:rsid w:val="00B81A47"/>
    <w:rsid w:val="00B96005"/>
    <w:rsid w:val="00C037FF"/>
    <w:rsid w:val="00C17295"/>
    <w:rsid w:val="00C40DAF"/>
    <w:rsid w:val="00C74014"/>
    <w:rsid w:val="00D414A2"/>
    <w:rsid w:val="00D53F71"/>
    <w:rsid w:val="00DB5B7E"/>
    <w:rsid w:val="00E678C1"/>
    <w:rsid w:val="00F07185"/>
    <w:rsid w:val="00F07EA1"/>
    <w:rsid w:val="00F51229"/>
    <w:rsid w:val="00FA4DD3"/>
    <w:rsid w:val="00FB0748"/>
    <w:rsid w:val="00FC3802"/>
    <w:rsid w:val="00FE3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EBCC08"/>
  <w15:docId w15:val="{23E68CE1-9B5C-F649-8EBC-63E7D46C9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6AE4"/>
    <w:pPr>
      <w:spacing w:after="200" w:line="276" w:lineRule="auto"/>
      <w:jc w:val="both"/>
    </w:pPr>
    <w:rPr>
      <w:sz w:val="24"/>
      <w:szCs w:val="22"/>
    </w:rPr>
  </w:style>
  <w:style w:type="paragraph" w:styleId="Heading1">
    <w:name w:val="heading 1"/>
    <w:basedOn w:val="Normal"/>
    <w:next w:val="BodyText"/>
    <w:link w:val="Heading1Char"/>
    <w:qFormat/>
    <w:rsid w:val="004A52D1"/>
    <w:pPr>
      <w:numPr>
        <w:numId w:val="11"/>
      </w:numPr>
      <w:spacing w:after="0" w:line="360" w:lineRule="auto"/>
      <w:outlineLvl w:val="0"/>
    </w:pPr>
    <w:rPr>
      <w:rFonts w:ascii="Times New Roman" w:eastAsia="Times New Roman" w:hAnsi="Times New Roman" w:cs="Arial"/>
      <w:bCs/>
      <w:szCs w:val="24"/>
    </w:rPr>
  </w:style>
  <w:style w:type="paragraph" w:styleId="Heading2">
    <w:name w:val="heading 2"/>
    <w:basedOn w:val="Normal"/>
    <w:next w:val="BodyText"/>
    <w:link w:val="Heading2Char"/>
    <w:qFormat/>
    <w:rsid w:val="004A52D1"/>
    <w:pPr>
      <w:numPr>
        <w:ilvl w:val="1"/>
        <w:numId w:val="11"/>
      </w:numPr>
      <w:spacing w:after="0" w:line="360" w:lineRule="auto"/>
      <w:outlineLvl w:val="1"/>
    </w:pPr>
    <w:rPr>
      <w:rFonts w:ascii="Times New Roman" w:eastAsia="Times New Roman" w:hAnsi="Times New Roman"/>
      <w:bCs/>
      <w:iCs/>
      <w:szCs w:val="28"/>
    </w:rPr>
  </w:style>
  <w:style w:type="paragraph" w:styleId="Heading3">
    <w:name w:val="heading 3"/>
    <w:basedOn w:val="Normal"/>
    <w:next w:val="BodyText"/>
    <w:link w:val="Heading3Char"/>
    <w:qFormat/>
    <w:rsid w:val="004A52D1"/>
    <w:pPr>
      <w:numPr>
        <w:ilvl w:val="2"/>
        <w:numId w:val="11"/>
      </w:numPr>
      <w:spacing w:after="0" w:line="360" w:lineRule="auto"/>
      <w:outlineLvl w:val="2"/>
    </w:pPr>
    <w:rPr>
      <w:rFonts w:ascii="Times New Roman" w:eastAsia="Times New Roman" w:hAnsi="Times New Roman"/>
      <w:bCs/>
      <w:szCs w:val="26"/>
    </w:rPr>
  </w:style>
  <w:style w:type="paragraph" w:styleId="Heading4">
    <w:name w:val="heading 4"/>
    <w:basedOn w:val="Normal"/>
    <w:next w:val="BodyText"/>
    <w:link w:val="Heading4Char"/>
    <w:qFormat/>
    <w:rsid w:val="004A52D1"/>
    <w:pPr>
      <w:numPr>
        <w:ilvl w:val="3"/>
        <w:numId w:val="11"/>
      </w:numPr>
      <w:spacing w:after="0" w:line="360" w:lineRule="auto"/>
      <w:outlineLvl w:val="3"/>
    </w:pPr>
    <w:rPr>
      <w:rFonts w:ascii="Times New Roman" w:eastAsia="Times New Roman" w:hAnsi="Times New Roman"/>
      <w:bCs/>
      <w:szCs w:val="28"/>
    </w:rPr>
  </w:style>
  <w:style w:type="paragraph" w:styleId="Heading5">
    <w:name w:val="heading 5"/>
    <w:basedOn w:val="Normal"/>
    <w:next w:val="BodyText"/>
    <w:link w:val="Heading5Char"/>
    <w:qFormat/>
    <w:rsid w:val="004A52D1"/>
    <w:pPr>
      <w:numPr>
        <w:ilvl w:val="4"/>
        <w:numId w:val="11"/>
      </w:numPr>
      <w:spacing w:after="0" w:line="360" w:lineRule="auto"/>
      <w:outlineLvl w:val="4"/>
    </w:pPr>
    <w:rPr>
      <w:rFonts w:ascii="Times New Roman" w:eastAsia="Times New Roman" w:hAnsi="Times New Roman"/>
      <w:bCs/>
      <w:iCs/>
      <w:szCs w:val="26"/>
    </w:rPr>
  </w:style>
  <w:style w:type="paragraph" w:styleId="Heading6">
    <w:name w:val="heading 6"/>
    <w:basedOn w:val="Normal"/>
    <w:next w:val="BodyText"/>
    <w:link w:val="Heading6Char"/>
    <w:qFormat/>
    <w:rsid w:val="004A52D1"/>
    <w:pPr>
      <w:numPr>
        <w:ilvl w:val="5"/>
        <w:numId w:val="11"/>
      </w:numPr>
      <w:spacing w:after="0" w:line="360" w:lineRule="auto"/>
      <w:outlineLvl w:val="5"/>
    </w:pPr>
    <w:rPr>
      <w:rFonts w:ascii="Times New Roman" w:eastAsia="Times New Roman" w:hAnsi="Times New Roman"/>
      <w:bCs/>
    </w:rPr>
  </w:style>
  <w:style w:type="paragraph" w:styleId="Heading7">
    <w:name w:val="heading 7"/>
    <w:basedOn w:val="Normal"/>
    <w:next w:val="BodyText"/>
    <w:link w:val="Heading7Char"/>
    <w:qFormat/>
    <w:rsid w:val="004A52D1"/>
    <w:pPr>
      <w:numPr>
        <w:ilvl w:val="6"/>
        <w:numId w:val="11"/>
      </w:numPr>
      <w:spacing w:after="0" w:line="360" w:lineRule="auto"/>
      <w:outlineLvl w:val="6"/>
    </w:pPr>
    <w:rPr>
      <w:rFonts w:ascii="Times New Roman" w:eastAsia="Times New Roman" w:hAnsi="Times New Roman"/>
      <w:szCs w:val="24"/>
    </w:rPr>
  </w:style>
  <w:style w:type="paragraph" w:styleId="Heading8">
    <w:name w:val="heading 8"/>
    <w:basedOn w:val="Normal"/>
    <w:next w:val="BodyText"/>
    <w:link w:val="Heading8Char"/>
    <w:qFormat/>
    <w:rsid w:val="004A52D1"/>
    <w:pPr>
      <w:numPr>
        <w:ilvl w:val="7"/>
        <w:numId w:val="11"/>
      </w:numPr>
      <w:spacing w:after="0" w:line="360" w:lineRule="auto"/>
      <w:outlineLvl w:val="7"/>
    </w:pPr>
    <w:rPr>
      <w:rFonts w:ascii="Times New Roman" w:eastAsia="Times New Roman" w:hAnsi="Times New Roman"/>
      <w:iCs/>
      <w:szCs w:val="24"/>
    </w:rPr>
  </w:style>
  <w:style w:type="paragraph" w:styleId="Heading9">
    <w:name w:val="heading 9"/>
    <w:basedOn w:val="Normal"/>
    <w:next w:val="BodyText"/>
    <w:link w:val="Heading9Char"/>
    <w:qFormat/>
    <w:rsid w:val="004A52D1"/>
    <w:pPr>
      <w:numPr>
        <w:ilvl w:val="8"/>
        <w:numId w:val="11"/>
      </w:numPr>
      <w:spacing w:after="0" w:line="360" w:lineRule="auto"/>
      <w:outlineLvl w:val="8"/>
    </w:pPr>
    <w:rPr>
      <w:rFonts w:ascii="Times New Roman" w:eastAsia="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4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4A2"/>
  </w:style>
  <w:style w:type="paragraph" w:styleId="Footer">
    <w:name w:val="footer"/>
    <w:basedOn w:val="Normal"/>
    <w:link w:val="FooterChar"/>
    <w:uiPriority w:val="99"/>
    <w:unhideWhenUsed/>
    <w:rsid w:val="006F44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4A2"/>
  </w:style>
  <w:style w:type="table" w:styleId="TableGrid">
    <w:name w:val="Table Grid"/>
    <w:basedOn w:val="TableNormal"/>
    <w:uiPriority w:val="59"/>
    <w:rsid w:val="00412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D4359"/>
    <w:rPr>
      <w:color w:val="0000FF"/>
      <w:u w:val="single"/>
    </w:rPr>
  </w:style>
  <w:style w:type="paragraph" w:styleId="FootnoteText">
    <w:name w:val="footnote text"/>
    <w:basedOn w:val="Normal"/>
    <w:semiHidden/>
    <w:rsid w:val="00FC3802"/>
    <w:rPr>
      <w:sz w:val="20"/>
      <w:szCs w:val="20"/>
    </w:rPr>
  </w:style>
  <w:style w:type="character" w:styleId="FootnoteReference">
    <w:name w:val="footnote reference"/>
    <w:uiPriority w:val="99"/>
    <w:semiHidden/>
    <w:rsid w:val="00FC3802"/>
    <w:rPr>
      <w:vertAlign w:val="superscript"/>
    </w:rPr>
  </w:style>
  <w:style w:type="character" w:customStyle="1" w:styleId="Heading1Char">
    <w:name w:val="Heading 1 Char"/>
    <w:basedOn w:val="DefaultParagraphFont"/>
    <w:link w:val="Heading1"/>
    <w:rsid w:val="004A52D1"/>
    <w:rPr>
      <w:rFonts w:ascii="Times New Roman" w:eastAsia="Times New Roman" w:hAnsi="Times New Roman" w:cs="Arial"/>
      <w:bCs/>
      <w:sz w:val="24"/>
      <w:szCs w:val="24"/>
    </w:rPr>
  </w:style>
  <w:style w:type="character" w:customStyle="1" w:styleId="Heading2Char">
    <w:name w:val="Heading 2 Char"/>
    <w:basedOn w:val="DefaultParagraphFont"/>
    <w:link w:val="Heading2"/>
    <w:rsid w:val="004A52D1"/>
    <w:rPr>
      <w:rFonts w:ascii="Times New Roman" w:eastAsia="Times New Roman" w:hAnsi="Times New Roman"/>
      <w:bCs/>
      <w:iCs/>
      <w:sz w:val="24"/>
      <w:szCs w:val="28"/>
    </w:rPr>
  </w:style>
  <w:style w:type="character" w:customStyle="1" w:styleId="Heading3Char">
    <w:name w:val="Heading 3 Char"/>
    <w:basedOn w:val="DefaultParagraphFont"/>
    <w:link w:val="Heading3"/>
    <w:rsid w:val="004A52D1"/>
    <w:rPr>
      <w:rFonts w:ascii="Times New Roman" w:eastAsia="Times New Roman" w:hAnsi="Times New Roman"/>
      <w:bCs/>
      <w:sz w:val="24"/>
      <w:szCs w:val="26"/>
    </w:rPr>
  </w:style>
  <w:style w:type="character" w:customStyle="1" w:styleId="Heading4Char">
    <w:name w:val="Heading 4 Char"/>
    <w:basedOn w:val="DefaultParagraphFont"/>
    <w:link w:val="Heading4"/>
    <w:rsid w:val="004A52D1"/>
    <w:rPr>
      <w:rFonts w:ascii="Times New Roman" w:eastAsia="Times New Roman" w:hAnsi="Times New Roman"/>
      <w:bCs/>
      <w:sz w:val="24"/>
      <w:szCs w:val="28"/>
    </w:rPr>
  </w:style>
  <w:style w:type="character" w:customStyle="1" w:styleId="Heading5Char">
    <w:name w:val="Heading 5 Char"/>
    <w:basedOn w:val="DefaultParagraphFont"/>
    <w:link w:val="Heading5"/>
    <w:rsid w:val="004A52D1"/>
    <w:rPr>
      <w:rFonts w:ascii="Times New Roman" w:eastAsia="Times New Roman" w:hAnsi="Times New Roman"/>
      <w:bCs/>
      <w:iCs/>
      <w:sz w:val="24"/>
      <w:szCs w:val="26"/>
    </w:rPr>
  </w:style>
  <w:style w:type="character" w:customStyle="1" w:styleId="Heading6Char">
    <w:name w:val="Heading 6 Char"/>
    <w:basedOn w:val="DefaultParagraphFont"/>
    <w:link w:val="Heading6"/>
    <w:rsid w:val="004A52D1"/>
    <w:rPr>
      <w:rFonts w:ascii="Times New Roman" w:eastAsia="Times New Roman" w:hAnsi="Times New Roman"/>
      <w:bCs/>
      <w:sz w:val="24"/>
      <w:szCs w:val="22"/>
    </w:rPr>
  </w:style>
  <w:style w:type="character" w:customStyle="1" w:styleId="Heading7Char">
    <w:name w:val="Heading 7 Char"/>
    <w:basedOn w:val="DefaultParagraphFont"/>
    <w:link w:val="Heading7"/>
    <w:rsid w:val="004A52D1"/>
    <w:rPr>
      <w:rFonts w:ascii="Times New Roman" w:eastAsia="Times New Roman" w:hAnsi="Times New Roman"/>
      <w:sz w:val="24"/>
      <w:szCs w:val="24"/>
    </w:rPr>
  </w:style>
  <w:style w:type="character" w:customStyle="1" w:styleId="Heading8Char">
    <w:name w:val="Heading 8 Char"/>
    <w:basedOn w:val="DefaultParagraphFont"/>
    <w:link w:val="Heading8"/>
    <w:rsid w:val="004A52D1"/>
    <w:rPr>
      <w:rFonts w:ascii="Times New Roman" w:eastAsia="Times New Roman" w:hAnsi="Times New Roman"/>
      <w:iCs/>
      <w:sz w:val="24"/>
      <w:szCs w:val="24"/>
    </w:rPr>
  </w:style>
  <w:style w:type="character" w:customStyle="1" w:styleId="Heading9Char">
    <w:name w:val="Heading 9 Char"/>
    <w:basedOn w:val="DefaultParagraphFont"/>
    <w:link w:val="Heading9"/>
    <w:rsid w:val="004A52D1"/>
    <w:rPr>
      <w:rFonts w:ascii="Times New Roman" w:eastAsia="Times New Roman" w:hAnsi="Times New Roman"/>
      <w:sz w:val="24"/>
      <w:szCs w:val="24"/>
    </w:rPr>
  </w:style>
  <w:style w:type="paragraph" w:styleId="BodyText">
    <w:name w:val="Body Text"/>
    <w:basedOn w:val="Normal"/>
    <w:link w:val="BodyTextChar"/>
    <w:uiPriority w:val="99"/>
    <w:semiHidden/>
    <w:unhideWhenUsed/>
    <w:rsid w:val="004A52D1"/>
    <w:pPr>
      <w:spacing w:after="120"/>
    </w:pPr>
  </w:style>
  <w:style w:type="character" w:customStyle="1" w:styleId="BodyTextChar">
    <w:name w:val="Body Text Char"/>
    <w:basedOn w:val="DefaultParagraphFont"/>
    <w:link w:val="BodyText"/>
    <w:uiPriority w:val="99"/>
    <w:semiHidden/>
    <w:rsid w:val="004A52D1"/>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irs.gov/individuals/international-taxpayers/fixed-determinable-annual-periodical-fdap-incom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3958</Words>
  <Characters>22561</Characters>
  <Application>Microsoft Office Word</Application>
  <DocSecurity>0</DocSecurity>
  <PresentationFormat>14|.DOCX</PresentationFormat>
  <Lines>188</Lines>
  <Paragraphs>52</Paragraphs>
  <ScaleCrop>false</ScaleCrop>
  <HeadingPairs>
    <vt:vector size="2" baseType="variant">
      <vt:variant>
        <vt:lpstr>Title</vt:lpstr>
      </vt:variant>
      <vt:variant>
        <vt:i4>1</vt:i4>
      </vt:variant>
    </vt:vector>
  </HeadingPairs>
  <TitlesOfParts>
    <vt:vector size="1" baseType="lpstr">
      <vt:lpstr>Web Article Template (00557380).DOC</vt:lpstr>
    </vt:vector>
  </TitlesOfParts>
  <Company/>
  <LinksUpToDate>false</LinksUpToDate>
  <CharactersWithSpaces>26467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Article Template (00557380).DOC</dc:title>
  <dc:subject>WKBY.ART / 00557380.DOC.1</dc:subject>
  <dc:creator>Jim Tappan</dc:creator>
  <cp:keywords/>
  <dc:description>DO NOT STAMP </dc:description>
  <cp:lastModifiedBy>Jim Tappan</cp:lastModifiedBy>
  <cp:revision>5</cp:revision>
  <dcterms:created xsi:type="dcterms:W3CDTF">2018-01-12T16:57:00Z</dcterms:created>
  <dcterms:modified xsi:type="dcterms:W3CDTF">2018-01-12T17:02:00Z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Date">
    <vt:lpwstr>5/12/2011 11:58:07 AM</vt:lpwstr>
  </property>
</Properties>
</file>